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华文中宋"/>
          <w:sz w:val="32"/>
          <w:szCs w:val="32"/>
          <w:lang w:val="en-US" w:eastAsia="zh-CN"/>
        </w:rPr>
      </w:pPr>
      <w:r>
        <w:rPr>
          <w:rFonts w:hint="eastAsia" w:ascii="黑体" w:hAnsi="宋体" w:eastAsia="黑体" w:cs="华文中宋"/>
          <w:sz w:val="32"/>
          <w:szCs w:val="32"/>
        </w:rPr>
        <w:t>附件</w:t>
      </w:r>
      <w:r>
        <w:rPr>
          <w:rFonts w:hint="eastAsia" w:ascii="黑体" w:hAnsi="宋体" w:eastAsia="黑体" w:cs="华文中宋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简体" w:hAnsi="黑体" w:eastAsia="方正小标宋简体" w:cs="华文中宋"/>
          <w:sz w:val="44"/>
          <w:szCs w:val="44"/>
        </w:rPr>
      </w:pPr>
      <w:r>
        <w:rPr>
          <w:rFonts w:hint="eastAsia" w:ascii="方正小标宋简体" w:hAnsi="黑体" w:eastAsia="方正小标宋简体" w:cs="华文中宋"/>
          <w:sz w:val="44"/>
          <w:szCs w:val="44"/>
        </w:rPr>
        <w:t>渭南市科技企业融资需求信息表</w:t>
      </w:r>
    </w:p>
    <w:p>
      <w:pPr>
        <w:jc w:val="center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填报人：             联系方式：         填报日期：</w:t>
      </w:r>
    </w:p>
    <w:tbl>
      <w:tblPr>
        <w:tblStyle w:val="8"/>
        <w:tblW w:w="8525" w:type="dxa"/>
        <w:jc w:val="center"/>
        <w:tblInd w:w="-3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622"/>
        <w:gridCol w:w="1223"/>
        <w:gridCol w:w="832"/>
        <w:gridCol w:w="612"/>
        <w:gridCol w:w="843"/>
        <w:gridCol w:w="1413"/>
        <w:gridCol w:w="9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67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企业名称</w:t>
            </w:r>
          </w:p>
        </w:tc>
        <w:tc>
          <w:tcPr>
            <w:tcW w:w="5851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267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注册资本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注册时间</w:t>
            </w:r>
          </w:p>
        </w:tc>
        <w:tc>
          <w:tcPr>
            <w:tcW w:w="234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67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企业负责人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联系方式</w:t>
            </w:r>
          </w:p>
        </w:tc>
        <w:tc>
          <w:tcPr>
            <w:tcW w:w="234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67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企业性质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所处阶段</w:t>
            </w:r>
          </w:p>
        </w:tc>
        <w:tc>
          <w:tcPr>
            <w:tcW w:w="2341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67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是否有政府支持</w:t>
            </w:r>
          </w:p>
        </w:tc>
        <w:tc>
          <w:tcPr>
            <w:tcW w:w="5851" w:type="dxa"/>
            <w:gridSpan w:val="6"/>
            <w:vAlign w:val="center"/>
          </w:tcPr>
          <w:p>
            <w:pPr>
              <w:spacing w:line="440" w:lineRule="exact"/>
              <w:ind w:firstLine="2520" w:firstLineChars="900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（额度：   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674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企业简况</w:t>
            </w:r>
          </w:p>
        </w:tc>
        <w:tc>
          <w:tcPr>
            <w:tcW w:w="5851" w:type="dxa"/>
            <w:gridSpan w:val="6"/>
            <w:vAlign w:val="center"/>
          </w:tcPr>
          <w:p>
            <w:pPr>
              <w:rPr>
                <w:rStyle w:val="11"/>
              </w:rPr>
            </w:pPr>
            <w:r>
              <w:rPr>
                <w:rStyle w:val="11"/>
                <w:rFonts w:hint="eastAsia"/>
              </w:rPr>
              <w:t>（简要说明公司定位、员工数量、成立时间等可以说明公司基本情况的信息）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052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融资项目 基本情况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项目名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称</w:t>
            </w:r>
          </w:p>
        </w:tc>
        <w:tc>
          <w:tcPr>
            <w:tcW w:w="3510" w:type="dxa"/>
            <w:gridSpan w:val="4"/>
            <w:vAlign w:val="center"/>
          </w:tcPr>
          <w:p>
            <w:pPr>
              <w:spacing w:line="440" w:lineRule="exact"/>
              <w:ind w:left="600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440" w:lineRule="exact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所属领域</w:t>
            </w:r>
          </w:p>
        </w:tc>
        <w:tc>
          <w:tcPr>
            <w:tcW w:w="928" w:type="dxa"/>
            <w:vAlign w:val="center"/>
          </w:tcPr>
          <w:p>
            <w:pPr>
              <w:spacing w:line="440" w:lineRule="exact"/>
              <w:ind w:left="600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05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现需融资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额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（万元）</w:t>
            </w:r>
          </w:p>
        </w:tc>
        <w:tc>
          <w:tcPr>
            <w:tcW w:w="1223" w:type="dxa"/>
            <w:vAlign w:val="center"/>
          </w:tcPr>
          <w:p>
            <w:pPr>
              <w:spacing w:line="440" w:lineRule="exact"/>
              <w:ind w:left="600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融资额股权比例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是否接受并购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贷款用途</w:t>
            </w:r>
          </w:p>
        </w:tc>
        <w:tc>
          <w:tcPr>
            <w:tcW w:w="5851" w:type="dxa"/>
            <w:gridSpan w:val="6"/>
            <w:vAlign w:val="center"/>
          </w:tcPr>
          <w:p>
            <w:pPr>
              <w:spacing w:line="440" w:lineRule="exact"/>
              <w:rPr>
                <w:rStyle w:val="11"/>
              </w:rPr>
            </w:pPr>
            <w:r>
              <w:rPr>
                <w:rStyle w:val="11"/>
                <w:rFonts w:hint="eastAsia"/>
              </w:rPr>
              <w:t>(如购买原材料、新建厂房、引进设备、项目建设、并购重组等）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5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知识产权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归属</w:t>
            </w:r>
          </w:p>
        </w:tc>
        <w:tc>
          <w:tcPr>
            <w:tcW w:w="5851" w:type="dxa"/>
            <w:gridSpan w:val="6"/>
            <w:vAlign w:val="center"/>
          </w:tcPr>
          <w:p>
            <w:pPr>
              <w:spacing w:line="44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105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项目团队</w:t>
            </w:r>
          </w:p>
        </w:tc>
        <w:tc>
          <w:tcPr>
            <w:tcW w:w="5851" w:type="dxa"/>
            <w:gridSpan w:val="6"/>
            <w:vAlign w:val="center"/>
          </w:tcPr>
          <w:p>
            <w:pPr>
              <w:spacing w:line="44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05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项目介绍</w:t>
            </w:r>
          </w:p>
        </w:tc>
        <w:tc>
          <w:tcPr>
            <w:tcW w:w="5851" w:type="dxa"/>
            <w:gridSpan w:val="6"/>
            <w:vAlign w:val="center"/>
          </w:tcPr>
          <w:p>
            <w:pPr>
              <w:rPr>
                <w:rStyle w:val="11"/>
              </w:rPr>
            </w:pPr>
            <w:r>
              <w:rPr>
                <w:rStyle w:val="11"/>
                <w:rFonts w:hint="eastAsia"/>
              </w:rPr>
              <w:t>（简要描述产品或服务、年主营业务收入、主要产品产量、产能规模、客户对象以及竞争优势等宣传企业业务的信息，应含已有或预期经济效益）</w:t>
            </w:r>
          </w:p>
        </w:tc>
      </w:tr>
    </w:tbl>
    <w:p>
      <w:pPr>
        <w:jc w:val="both"/>
        <w:rPr>
          <w:rFonts w:hint="eastAsia" w:ascii="仿宋_GB2312" w:eastAsia="仿宋_GB2312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指标说明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1.企业性质：国有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eastAsia="zh-CN"/>
        </w:rPr>
        <w:t>企业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、集体所有制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eastAsia="zh-CN"/>
        </w:rPr>
        <w:t>企业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、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eastAsia="zh-CN"/>
        </w:rPr>
        <w:t>联营企业、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私营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eastAsia="zh-CN"/>
        </w:rPr>
        <w:t>企业、股份制企业、有限合伙企业、外商投资企业、个人独资企业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及其它。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2.所属领域：信息技术产业、高端装备制造产业、新材料产业、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eastAsia="zh-CN"/>
        </w:rPr>
        <w:t>生物产业、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新能源汽车产业、新能源产业、节能环保产业、数字创意产业、现代服务业。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3.所处阶段：种子期、成长期、扩张期、上市筹备期、其他。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</w:p>
    <w:p>
      <w:pPr>
        <w:spacing w:line="570" w:lineRule="exact"/>
        <w:rPr>
          <w:rFonts w:hint="eastAsia"/>
        </w:rPr>
      </w:pPr>
      <w:r>
        <w:rPr>
          <w:sz w:val="28"/>
        </w:rPr>
        <w:pict>
          <v:line id="_x0000_s1027" o:spid="_x0000_s1027" o:spt="20" style="position:absolute;left:0pt;margin-left:-0.3pt;margin-top:36.4pt;height:0pt;width:439.8pt;z-index:251658240;mso-width-relative:page;mso-height-relative:page;" filled="f" stroked="t" coordsize="21600,21600" o:gfxdata="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86Wy00wAAAAUBAAAPAAAAAAAAAAEAIAAAACIAAABkcnMvZG93bnJl&#10;di54bWxQSwECFAAUAAAACACHTuJA0hI2MckBAABYAwAADgAAAAAAAAABACAAAAAiAQAAZHJzL2Uy&#10;b0RvYy54bWxQSwUGAAAAAAYABgBZAQAAXQUAAAAA&#10;">
            <v:path arrowok="t"/>
            <v:fill on="f" focussize="0,0"/>
            <v:stroke/>
            <v:imagedata o:title=""/>
            <o:lock v:ext="edit" aspectratio="f"/>
          </v:line>
        </w:pict>
      </w:r>
    </w:p>
    <w:p>
      <w:pPr>
        <w:rPr>
          <w:rFonts w:hint="eastAsia"/>
        </w:rPr>
      </w:pPr>
      <w:r>
        <w:rPr>
          <w:sz w:val="28"/>
        </w:rPr>
        <w:pict>
          <v:line id="_x0000_s1026" o:spid="_x0000_s1026" o:spt="20" style="position:absolute;left:0pt;margin-left:-0.9pt;margin-top:21.3pt;height:0pt;width:439.8pt;z-index:251659264;mso-width-relative:page;mso-height-relative:page;" filled="f" stroked="t" coordsize="21600,21600" o:gfxdata="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ASuxddQAAAAHAQAADwAAAAAAAAABACAAAAAiAAAAZHJzL2Rvd25yZXYueG1sUEsBAhQA&#10;FAAAAAgAh07iQBV552S9AQAATAMAAA4AAAAAAAAAAQAgAAAAIwEAAGRycy9lMm9Eb2MueG1sUEsF&#10;BgAAAAAGAAYAWQEAAFIFAAAAAA==&#10;">
            <v:path arrowok="t"/>
            <v:fill on="f" focussize="0,0"/>
            <v:stroke/>
            <v:imagedata o:title=""/>
            <o:lock v:ext="edit" aspectratio="f"/>
          </v:line>
        </w:pic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渭南市科学技术局办公室                201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28"/>
          <w:szCs w:val="28"/>
        </w:rPr>
        <w:t>日印发</w:t>
      </w:r>
    </w:p>
    <w:p>
      <w:pPr>
        <w:shd w:val="clear" w:color="auto" w:fill="FFFFFF"/>
        <w:spacing w:line="440" w:lineRule="exact"/>
        <w:rPr>
          <w:rFonts w:hint="default" w:ascii="仿宋_GB2312" w:hAnsi="Arial" w:eastAsia="仿宋_GB2312" w:cs="Arial"/>
          <w:color w:val="333333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720"/>
  <w:drawingGridHorizontalSpacing w:val="110"/>
  <w:drawingGridVerticalSpacing w:val="156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94D4D"/>
    <w:rsid w:val="00323B43"/>
    <w:rsid w:val="003D37D8"/>
    <w:rsid w:val="00426133"/>
    <w:rsid w:val="004358AB"/>
    <w:rsid w:val="008B7726"/>
    <w:rsid w:val="00995C43"/>
    <w:rsid w:val="009B4026"/>
    <w:rsid w:val="00AA2161"/>
    <w:rsid w:val="00D31D50"/>
    <w:rsid w:val="00DB5688"/>
    <w:rsid w:val="00E073E0"/>
    <w:rsid w:val="01697C4D"/>
    <w:rsid w:val="05584639"/>
    <w:rsid w:val="079C51DE"/>
    <w:rsid w:val="09A113F8"/>
    <w:rsid w:val="14193A61"/>
    <w:rsid w:val="1F926130"/>
    <w:rsid w:val="22500E2B"/>
    <w:rsid w:val="250B05EE"/>
    <w:rsid w:val="2CB61868"/>
    <w:rsid w:val="35AE318A"/>
    <w:rsid w:val="37003519"/>
    <w:rsid w:val="3A7B344E"/>
    <w:rsid w:val="426A6E09"/>
    <w:rsid w:val="429A3BC8"/>
    <w:rsid w:val="44A853F3"/>
    <w:rsid w:val="4AF8484A"/>
    <w:rsid w:val="5042468D"/>
    <w:rsid w:val="51265FA8"/>
    <w:rsid w:val="5E310F2C"/>
    <w:rsid w:val="61372499"/>
    <w:rsid w:val="62181148"/>
    <w:rsid w:val="6E654BD9"/>
    <w:rsid w:val="71336714"/>
    <w:rsid w:val="7F2F3BD4"/>
    <w:rsid w:val="7FC1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6">
    <w:name w:val="FollowedHyperlink"/>
    <w:basedOn w:val="5"/>
    <w:semiHidden/>
    <w:unhideWhenUsed/>
    <w:qFormat/>
    <w:uiPriority w:val="99"/>
    <w:rPr>
      <w:color w:val="800080"/>
      <w:u w:val="none"/>
    </w:rPr>
  </w:style>
  <w:style w:type="character" w:styleId="7">
    <w:name w:val="Hyperlink"/>
    <w:basedOn w:val="5"/>
    <w:semiHidden/>
    <w:unhideWhenUsed/>
    <w:uiPriority w:val="99"/>
    <w:rPr>
      <w:color w:val="0000FF"/>
      <w:u w:val="none"/>
    </w:rPr>
  </w:style>
  <w:style w:type="character" w:customStyle="1" w:styleId="9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Subtle Emphasis"/>
    <w:basedOn w:val="5"/>
    <w:qFormat/>
    <w:uiPriority w:val="19"/>
    <w:rPr>
      <w:i/>
      <w:iCs/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</Words>
  <Characters>381</Characters>
  <Lines>3</Lines>
  <Paragraphs>1</Paragraphs>
  <TotalTime>0</TotalTime>
  <ScaleCrop>false</ScaleCrop>
  <LinksUpToDate>false</LinksUpToDate>
  <CharactersWithSpaces>446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2017-03-27T01:18:00Z</dcterms:created>
  <dc:creator>Administrator</dc:creator>
  <cp:lastModifiedBy>Ajiao</cp:lastModifiedBy>
  <cp:lastPrinted>2019-04-19T01:43:37Z</cp:lastPrinted>
  <dcterms:modified xsi:type="dcterms:W3CDTF">2019-04-19T01:45:13Z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