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olor w:val="000000" w:themeColor="text1"/>
          <w:sz w:val="44"/>
          <w:szCs w:val="44"/>
          <w14:textFill>
            <w14:solidFill>
              <w14:schemeClr w14:val="tx1"/>
            </w14:solidFill>
          </w14:textFill>
        </w:rPr>
      </w:pPr>
    </w:p>
    <w:p>
      <w:pPr>
        <w:rPr>
          <w:rFonts w:hint="eastAsia"/>
          <w:color w:val="000000" w:themeColor="text1"/>
          <w:sz w:val="44"/>
          <w:szCs w:val="44"/>
          <w14:textFill>
            <w14:solidFill>
              <w14:schemeClr w14:val="tx1"/>
            </w14:solidFill>
          </w14:textFill>
        </w:rPr>
      </w:pPr>
    </w:p>
    <w:p>
      <w:pPr>
        <w:rPr>
          <w:rFonts w:hint="eastAsia"/>
          <w:color w:val="000000" w:themeColor="text1"/>
          <w:sz w:val="13"/>
          <w:szCs w:val="13"/>
          <w14:textFill>
            <w14:solidFill>
              <w14:schemeClr w14:val="tx1"/>
            </w14:solidFill>
          </w14:textFill>
        </w:rPr>
      </w:pPr>
    </w:p>
    <w:p>
      <w:pPr>
        <w:rPr>
          <w:rFonts w:hint="eastAsia"/>
          <w:color w:val="000000" w:themeColor="text1"/>
          <w:sz w:val="44"/>
          <w:szCs w:val="44"/>
          <w14:textFill>
            <w14:solidFill>
              <w14:schemeClr w14:val="tx1"/>
            </w14:solidFill>
          </w14:textFill>
        </w:rPr>
      </w:pPr>
    </w:p>
    <w:p>
      <w:pPr>
        <w:rPr>
          <w:rFonts w:hint="eastAsia"/>
          <w:color w:val="000000" w:themeColor="text1"/>
          <w:sz w:val="52"/>
          <w:szCs w:val="52"/>
          <w14:textFill>
            <w14:solidFill>
              <w14:schemeClr w14:val="tx1"/>
            </w14:solidFill>
          </w14:textFill>
        </w:rPr>
      </w:pPr>
    </w:p>
    <w:p>
      <w:pPr>
        <w:pStyle w:val="2"/>
        <w:rPr>
          <w:rFonts w:hint="eastAsia"/>
        </w:rPr>
      </w:pPr>
    </w:p>
    <w:p>
      <w:pPr>
        <w:rPr>
          <w:rFonts w:hint="eastAsia"/>
          <w:color w:val="000000" w:themeColor="text1"/>
          <w:sz w:val="44"/>
          <w:szCs w:val="44"/>
          <w14:textFill>
            <w14:solidFill>
              <w14:schemeClr w14:val="tx1"/>
            </w14:solidFill>
          </w14:textFill>
        </w:rPr>
      </w:pPr>
    </w:p>
    <w:p>
      <w:pPr>
        <w:widowControl/>
        <w:topLinePunct/>
        <w:spacing w:line="560" w:lineRule="exact"/>
        <w:jc w:val="center"/>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渭科发〔201</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9</w:t>
      </w:r>
      <w:r>
        <w:rPr>
          <w:rFonts w:hint="eastAsia" w:ascii="仿宋_GB2312" w:hAnsi="宋体" w:eastAsia="仿宋_GB2312" w:cs="宋体"/>
          <w:color w:val="000000" w:themeColor="text1"/>
          <w:kern w:val="0"/>
          <w:sz w:val="32"/>
          <w:szCs w:val="32"/>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27</w:t>
      </w:r>
      <w:r>
        <w:rPr>
          <w:rFonts w:hint="eastAsia" w:ascii="仿宋_GB2312" w:hAnsi="宋体" w:eastAsia="仿宋_GB2312" w:cs="宋体"/>
          <w:color w:val="000000" w:themeColor="text1"/>
          <w:kern w:val="0"/>
          <w:sz w:val="32"/>
          <w:szCs w:val="32"/>
          <w14:textFill>
            <w14:solidFill>
              <w14:schemeClr w14:val="tx1"/>
            </w14:solidFill>
          </w14:textFill>
        </w:rPr>
        <w:t>号</w:t>
      </w:r>
    </w:p>
    <w:p>
      <w:pPr>
        <w:keepNext w:val="0"/>
        <w:keepLines w:val="0"/>
        <w:pageBreakBefore w:val="0"/>
        <w:widowControl/>
        <w:kinsoku/>
        <w:wordWrap/>
        <w:overflowPunct/>
        <w:topLinePunct/>
        <w:autoSpaceDE/>
        <w:autoSpaceDN/>
        <w:bidi w:val="0"/>
        <w:adjustRightInd/>
        <w:snapToGrid/>
        <w:spacing w:line="500" w:lineRule="exact"/>
        <w:ind w:left="0" w:leftChars="0" w:right="0" w:rightChars="0" w:firstLine="0" w:firstLineChars="0"/>
        <w:jc w:val="center"/>
        <w:textAlignment w:val="auto"/>
        <w:outlineLvl w:val="9"/>
        <w:rPr>
          <w:rFonts w:hint="eastAsia" w:ascii="宋体" w:hAnsi="宋体" w:cs="宋体"/>
          <w:b/>
          <w:bCs/>
          <w:color w:val="000000" w:themeColor="text1"/>
          <w:kern w:val="0"/>
          <w:sz w:val="48"/>
          <w:szCs w:val="48"/>
          <w14:textFill>
            <w14:solidFill>
              <w14:schemeClr w14:val="tx1"/>
            </w14:solidFill>
          </w14:textFill>
        </w:rPr>
      </w:pPr>
    </w:p>
    <w:p>
      <w:pPr>
        <w:keepNext w:val="0"/>
        <w:keepLines w:val="0"/>
        <w:pageBreakBefore w:val="0"/>
        <w:widowControl/>
        <w:kinsoku/>
        <w:wordWrap/>
        <w:overflowPunct/>
        <w:topLinePunct/>
        <w:autoSpaceDE/>
        <w:autoSpaceDN/>
        <w:bidi w:val="0"/>
        <w:adjustRightInd/>
        <w:snapToGrid/>
        <w:spacing w:line="500" w:lineRule="exact"/>
        <w:ind w:left="0" w:leftChars="0" w:right="0" w:rightChars="0" w:firstLine="0" w:firstLineChars="0"/>
        <w:jc w:val="center"/>
        <w:textAlignment w:val="auto"/>
        <w:outlineLvl w:val="9"/>
        <w:rPr>
          <w:rFonts w:hint="eastAsia" w:ascii="宋体" w:hAnsi="宋体" w:cs="宋体"/>
          <w:b/>
          <w:bCs/>
          <w:color w:val="000000" w:themeColor="text1"/>
          <w:kern w:val="0"/>
          <w:sz w:val="48"/>
          <w:szCs w:val="4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渭南市科学技术局</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关于转发《陕西省科学技术厅关于做好2019年度陕西省科学技术奖提名工作的通知》的</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通    知</w:t>
      </w:r>
    </w:p>
    <w:p>
      <w:pPr>
        <w:jc w:val="center"/>
        <w:rPr>
          <w:rFonts w:hint="eastAsia" w:ascii="宋体" w:hAnsi="宋体" w:eastAsia="宋体"/>
          <w:b/>
          <w:color w:val="000000" w:themeColor="text1"/>
          <w:sz w:val="44"/>
          <w:szCs w:val="4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各县市区科技主管部门，相关单位: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根据陕西省科技厅有关科技奖提名工作安排，现将《陕西省科学技术厅关于做好2019年度陕西省科学技术奖提名工作的通知》（陕科成函[2019]131号）转发你们，请对照通知精神，</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一是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积极择优遴选、提名优秀的科技成果项目；</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二是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请县市区科技主管部门或相关业务主管单位及时与市科技局联系并申请提名号，市科技局对具备提名资格的单位分配提名码和登录口令（提名码申请截止时间6月14日）；</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三是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各被提名项目完成人应在本单位内部对提名项目内容进行公示，且公示时间不少于7个自然日（公示内容参见省科技信息网http://www.sninfo.gov.cn通知通告，科技奖提名手册附件3）；</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四是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请各县市区和业务主管单位以文件的方式向市科技局报送纸质提名材料（县市区以当地人民政府</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办公函、业务主管单位以本单位文件），提名材料包括：提名文件1份，纸质提名书原件和复印件各1份，科普项目还需附4套科普作品（网络填报截止时间为7月5日，纸质材料报送截时间为7月8日）。</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color w:val="000000" w:themeColor="text1"/>
          <w:sz w:val="32"/>
          <w:szCs w:val="32"/>
          <w:lang w:val="en-US" w:eastAsia="zh-CN"/>
          <w14:textFill>
            <w14:solidFill>
              <w14:schemeClr w14:val="tx1"/>
            </w14:solidFill>
          </w14:textFill>
        </w:rPr>
      </w:pPr>
      <w:r>
        <w:rPr>
          <w:rFonts w:hint="eastAsia" w:hAnsi="仿宋_GB2312" w:cs="仿宋_GB2312"/>
          <w:color w:val="000000" w:themeColor="text1"/>
          <w:sz w:val="32"/>
          <w:szCs w:val="32"/>
          <w:lang w:val="en-US" w:eastAsia="zh-CN"/>
          <w14:textFill>
            <w14:solidFill>
              <w14:schemeClr w14:val="tx1"/>
            </w14:solidFill>
          </w14:textFill>
        </w:rPr>
        <w:t>联系方式：</w:t>
      </w:r>
      <w:r>
        <w:rPr>
          <w:rFonts w:hint="eastAsia" w:ascii="仿宋_GB2312" w:eastAsia="仿宋_GB2312"/>
          <w:color w:val="000000" w:themeColor="text1"/>
          <w:sz w:val="32"/>
          <w:szCs w:val="32"/>
          <w:lang w:val="en-US" w:eastAsia="zh-CN"/>
          <w14:textFill>
            <w14:solidFill>
              <w14:schemeClr w14:val="tx1"/>
            </w14:solidFill>
          </w14:textFill>
        </w:rPr>
        <w:t>市科技局成果科</w:t>
      </w:r>
      <w:r>
        <w:rPr>
          <w:rFonts w:hint="eastAsia"/>
          <w:color w:val="000000" w:themeColor="text1"/>
          <w:sz w:val="32"/>
          <w:szCs w:val="32"/>
          <w:lang w:val="en-US" w:eastAsia="zh-CN"/>
          <w14:textFill>
            <w14:solidFill>
              <w14:schemeClr w14:val="tx1"/>
            </w14:solidFill>
          </w14:textFill>
        </w:rPr>
        <w:t xml:space="preserve">  程  恺 </w:t>
      </w:r>
      <w:r>
        <w:rPr>
          <w:rFonts w:hint="eastAsia" w:ascii="仿宋_GB2312" w:eastAsia="仿宋_GB2312"/>
          <w:color w:val="000000" w:themeColor="text1"/>
          <w:sz w:val="32"/>
          <w:szCs w:val="32"/>
          <w:lang w:val="en-US" w:eastAsia="zh-CN"/>
          <w14:textFill>
            <w14:solidFill>
              <w14:schemeClr w14:val="tx1"/>
            </w14:solidFill>
          </w14:textFill>
        </w:rPr>
        <w:t>张胜康    2933656</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eastAsia="仿宋" w:cs="仿宋"/>
          <w:color w:val="000000" w:themeColor="text1"/>
          <w:kern w:val="2"/>
          <w:sz w:val="32"/>
          <w:szCs w:val="32"/>
          <w:lang w:val="en-US" w:eastAsia="zh-CN" w:bidi="ar-SA"/>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地    址：渭南市车雷街渭南市民服务中心东配楼604</w:t>
      </w:r>
    </w:p>
    <w:p>
      <w:pPr>
        <w:spacing w:line="360" w:lineRule="auto"/>
        <w:ind w:firstLine="640" w:firstLineChars="200"/>
        <w:rPr>
          <w:rFonts w:hint="eastAsia" w:ascii="仿宋_GB2312" w:eastAsia="仿宋_GB2312"/>
          <w:color w:val="000000" w:themeColor="text1"/>
          <w:sz w:val="32"/>
          <w:szCs w:val="32"/>
          <w:lang w:val="en-US" w:eastAsia="zh-CN"/>
          <w14:textFill>
            <w14:solidFill>
              <w14:schemeClr w14:val="tx1"/>
            </w14:solidFill>
          </w14:textFill>
        </w:rPr>
      </w:pPr>
    </w:p>
    <w:p>
      <w:pPr>
        <w:spacing w:line="360" w:lineRule="auto"/>
        <w:ind w:left="2238" w:leftChars="304" w:hanging="1600" w:hangingChars="500"/>
        <w:jc w:val="left"/>
        <w:rPr>
          <w:rFonts w:hint="eastAsia"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附件：1.《陕西省科技厅关于做好2019年度省科学技术奖提名工作的通知》（网址：www.sninfo.gov.cn）；</w:t>
      </w:r>
    </w:p>
    <w:p>
      <w:pPr>
        <w:spacing w:line="360" w:lineRule="auto"/>
        <w:ind w:firstLine="1600" w:firstLineChars="500"/>
        <w:jc w:val="both"/>
        <w:rPr>
          <w:rFonts w:hint="eastAsia"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2.近年部分获市科学技术奖项目名单</w:t>
      </w:r>
    </w:p>
    <w:p>
      <w:pPr>
        <w:spacing w:line="360" w:lineRule="auto"/>
        <w:ind w:firstLine="640" w:firstLineChars="200"/>
        <w:rPr>
          <w:rFonts w:hint="eastAsia"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 xml:space="preserve">      3.县市区科技主管部门提名指标建议表；</w:t>
      </w:r>
    </w:p>
    <w:p>
      <w:pPr>
        <w:pStyle w:val="2"/>
        <w:rPr>
          <w:rFonts w:hint="eastAsia" w:ascii="仿宋_GB2312" w:hAnsi="Calibri" w:eastAsia="仿宋_GB2312" w:cs="Times New Roman"/>
          <w:color w:val="000000" w:themeColor="text1"/>
          <w:spacing w:val="-20"/>
          <w:kern w:val="2"/>
          <w:sz w:val="32"/>
          <w:szCs w:val="32"/>
          <w:lang w:val="en-US" w:eastAsia="zh-CN" w:bidi="ar-SA"/>
          <w14:textFill>
            <w14:solidFill>
              <w14:schemeClr w14:val="tx1"/>
            </w14:solidFill>
          </w14:textFill>
        </w:rPr>
      </w:pPr>
      <w:r>
        <w:rPr>
          <w:rFonts w:hint="eastAsia" w:ascii="仿宋_GB2312" w:hAnsi="Calibri" w:eastAsia="仿宋_GB2312" w:cs="Times New Roman"/>
          <w:color w:val="000000" w:themeColor="text1"/>
          <w:spacing w:val="-20"/>
          <w:kern w:val="2"/>
          <w:sz w:val="32"/>
          <w:szCs w:val="32"/>
          <w:lang w:val="en-US" w:eastAsia="zh-CN" w:bidi="ar-SA"/>
          <w14:textFill>
            <w14:solidFill>
              <w14:schemeClr w14:val="tx1"/>
            </w14:solidFill>
          </w14:textFill>
        </w:rPr>
        <w:t xml:space="preserve">     </w:t>
      </w:r>
      <w:r>
        <w:rPr>
          <w:rFonts w:hint="eastAsia" w:cs="Times New Roman"/>
          <w:color w:val="000000" w:themeColor="text1"/>
          <w:spacing w:val="-20"/>
          <w:kern w:val="2"/>
          <w:sz w:val="32"/>
          <w:szCs w:val="32"/>
          <w:lang w:val="en-US" w:eastAsia="zh-CN" w:bidi="ar-SA"/>
          <w14:textFill>
            <w14:solidFill>
              <w14:schemeClr w14:val="tx1"/>
            </w14:solidFill>
          </w14:textFill>
        </w:rPr>
        <w:t xml:space="preserve">  </w:t>
      </w:r>
      <w:r>
        <w:rPr>
          <w:rFonts w:hint="eastAsia" w:ascii="仿宋_GB2312" w:hAnsi="Calibri" w:eastAsia="仿宋_GB2312" w:cs="Times New Roman"/>
          <w:color w:val="000000" w:themeColor="text1"/>
          <w:spacing w:val="-20"/>
          <w:kern w:val="2"/>
          <w:sz w:val="32"/>
          <w:szCs w:val="32"/>
          <w:lang w:val="en-US" w:eastAsia="zh-CN" w:bidi="ar-SA"/>
          <w14:textFill>
            <w14:solidFill>
              <w14:schemeClr w14:val="tx1"/>
            </w14:solidFill>
          </w14:textFill>
        </w:rPr>
        <w:t xml:space="preserve"> （附件请从渭南科技信息http://kjj.weinan.gov.cn下载）</w:t>
      </w: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spacing w:line="360" w:lineRule="auto"/>
        <w:ind w:firstLine="4160" w:firstLineChars="1300"/>
        <w:rPr>
          <w:rFonts w:hint="eastAsia"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渭南市科学技术局</w:t>
      </w:r>
    </w:p>
    <w:p>
      <w:pPr>
        <w:spacing w:line="360" w:lineRule="auto"/>
        <w:rPr>
          <w:rFonts w:hint="eastAsia"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201</w:t>
      </w:r>
      <w:r>
        <w:rPr>
          <w:rFonts w:hint="eastAsia" w:ascii="仿宋_GB2312" w:eastAsia="仿宋_GB2312"/>
          <w:color w:val="000000" w:themeColor="text1"/>
          <w:sz w:val="32"/>
          <w:szCs w:val="32"/>
          <w:lang w:val="en-US" w:eastAsia="zh-CN"/>
          <w14:textFill>
            <w14:solidFill>
              <w14:schemeClr w14:val="tx1"/>
            </w14:solidFill>
          </w14:textFill>
        </w:rPr>
        <w:t>9</w:t>
      </w:r>
      <w:r>
        <w:rPr>
          <w:rFonts w:hint="eastAsia" w:ascii="仿宋_GB2312" w:eastAsia="仿宋_GB2312"/>
          <w:color w:val="000000" w:themeColor="text1"/>
          <w:sz w:val="32"/>
          <w:szCs w:val="32"/>
          <w14:textFill>
            <w14:solidFill>
              <w14:schemeClr w14:val="tx1"/>
            </w14:solidFill>
          </w14:textFill>
        </w:rPr>
        <w:t>年</w:t>
      </w:r>
      <w:r>
        <w:rPr>
          <w:rFonts w:hint="eastAsia" w:ascii="仿宋_GB2312" w:eastAsia="仿宋_GB2312"/>
          <w:color w:val="000000" w:themeColor="text1"/>
          <w:sz w:val="32"/>
          <w:szCs w:val="32"/>
          <w:lang w:val="en-US" w:eastAsia="zh-CN"/>
          <w14:textFill>
            <w14:solidFill>
              <w14:schemeClr w14:val="tx1"/>
            </w14:solidFill>
          </w14:textFill>
        </w:rPr>
        <w:t>6</w:t>
      </w:r>
      <w:r>
        <w:rPr>
          <w:rFonts w:hint="eastAsia" w:ascii="仿宋_GB2312" w:eastAsia="仿宋_GB2312"/>
          <w:color w:val="000000" w:themeColor="text1"/>
          <w:sz w:val="32"/>
          <w:szCs w:val="32"/>
          <w14:textFill>
            <w14:solidFill>
              <w14:schemeClr w14:val="tx1"/>
            </w14:solidFill>
          </w14:textFill>
        </w:rPr>
        <w:t>月</w:t>
      </w:r>
      <w:r>
        <w:rPr>
          <w:rFonts w:hint="eastAsia" w:ascii="仿宋_GB2312" w:eastAsia="仿宋_GB2312"/>
          <w:color w:val="000000" w:themeColor="text1"/>
          <w:sz w:val="32"/>
          <w:szCs w:val="32"/>
          <w:lang w:val="en-US" w:eastAsia="zh-CN"/>
          <w14:textFill>
            <w14:solidFill>
              <w14:schemeClr w14:val="tx1"/>
            </w14:solidFill>
          </w14:textFill>
        </w:rPr>
        <w:t>4</w:t>
      </w:r>
      <w:r>
        <w:rPr>
          <w:rFonts w:hint="eastAsia" w:ascii="仿宋_GB2312" w:eastAsia="仿宋_GB2312"/>
          <w:color w:val="000000" w:themeColor="text1"/>
          <w:sz w:val="32"/>
          <w:szCs w:val="32"/>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snapToGrid/>
        <w:spacing w:line="360" w:lineRule="auto"/>
        <w:ind w:firstLine="4800" w:firstLineChars="1500"/>
        <w:textAlignment w:val="auto"/>
        <w:outlineLvl w:val="9"/>
        <w:rPr>
          <w:rFonts w:hint="eastAsia" w:ascii="仿宋_GB2312" w:eastAsia="仿宋_GB2312"/>
          <w:color w:val="000000" w:themeColor="text1"/>
          <w:sz w:val="32"/>
          <w:szCs w:val="32"/>
          <w14:textFill>
            <w14:solidFill>
              <w14:schemeClr w14:val="tx1"/>
            </w14:solidFill>
          </w14:textFill>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zh-CN" w:eastAsia="zh-CN"/>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486400" cy="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486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0pt;height:0pt;width:432pt;z-index:251660288;mso-width-relative:page;mso-height-relative:page;" filled="f" stroked="t" coordsize="21600,21600" o:gfxdata="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rGr49AAAAACAQAADwAAAAAAAAABACAA&#10;AAAiAAAAZHJzL2Rvd25yZXYueG1sUEsBAhQAFAAAAAgAh07iQJA36h/cAQAAmAMAAA4AAAAAAAAA&#10;AQAgAAAAHwEAAGRycy9lMm9Eb2MueG1sUEsFBgAAAAAGAAYAWQEAAG0FAAAAAA==&#10;">
                <v:fill on="f" focussize="0,0"/>
                <v:stroke color="#000000" joinstyle="round"/>
                <v:imagedata o:title=""/>
                <o:lock v:ext="edit" aspectratio="f"/>
              </v:line>
            </w:pict>
          </mc:Fallback>
        </mc:AlternateConten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渭南市科学技术局办公室　　</w:t>
      </w:r>
      <w:r>
        <w:rPr>
          <w:rFonts w:hint="eastAsia" w:ascii="仿宋_GB2312" w:eastAsia="仿宋_GB2312"/>
          <w:color w:val="000000" w:themeColor="text1"/>
          <w:sz w:val="32"/>
          <w:szCs w:val="32"/>
          <w:lang w:val="en-US" w:eastAsia="zh-CN"/>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　</w:t>
      </w:r>
      <w:r>
        <w:rPr>
          <w:rFonts w:hint="eastAsia" w:ascii="仿宋_GB2312" w:eastAsia="仿宋_GB2312"/>
          <w:color w:val="000000" w:themeColor="text1"/>
          <w:sz w:val="32"/>
          <w:szCs w:val="32"/>
          <w:lang w:val="en-US" w:eastAsia="zh-CN"/>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 xml:space="preserve">  </w:t>
      </w:r>
      <w:r>
        <w:rPr>
          <w:rFonts w:hint="eastAsia" w:ascii="仿宋_GB2312" w:eastAsia="仿宋_GB2312"/>
          <w:color w:val="000000" w:themeColor="text1"/>
          <w:sz w:val="32"/>
          <w:szCs w:val="32"/>
          <w:lang w:val="en-US" w:eastAsia="zh-CN"/>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20</w:t>
      </w:r>
      <w:r>
        <w:rPr>
          <w:rFonts w:hint="eastAsia" w:ascii="仿宋_GB2312" w:eastAsia="仿宋_GB2312"/>
          <w:color w:val="000000" w:themeColor="text1"/>
          <w:sz w:val="32"/>
          <w:szCs w:val="32"/>
          <w:lang w:val="en-US" w:eastAsia="zh-CN"/>
          <w14:textFill>
            <w14:solidFill>
              <w14:schemeClr w14:val="tx1"/>
            </w14:solidFill>
          </w14:textFill>
        </w:rPr>
        <w:t>19</w:t>
      </w:r>
      <w:r>
        <w:rPr>
          <w:rFonts w:hint="eastAsia" w:ascii="仿宋_GB2312" w:eastAsia="仿宋_GB2312"/>
          <w:color w:val="000000" w:themeColor="text1"/>
          <w:sz w:val="32"/>
          <w:szCs w:val="32"/>
          <w14:textFill>
            <w14:solidFill>
              <w14:schemeClr w14:val="tx1"/>
            </w14:solidFill>
          </w14:textFill>
        </w:rPr>
        <w:t>年</w:t>
      </w:r>
      <w:r>
        <w:rPr>
          <w:rFonts w:hint="eastAsia" w:ascii="仿宋_GB2312" w:eastAsia="仿宋_GB2312"/>
          <w:color w:val="000000" w:themeColor="text1"/>
          <w:sz w:val="32"/>
          <w:szCs w:val="32"/>
          <w:lang w:val="en-US" w:eastAsia="zh-CN"/>
          <w14:textFill>
            <w14:solidFill>
              <w14:schemeClr w14:val="tx1"/>
            </w14:solidFill>
          </w14:textFill>
        </w:rPr>
        <w:t>6</w:t>
      </w:r>
      <w:r>
        <w:rPr>
          <w:rFonts w:hint="eastAsia" w:ascii="仿宋_GB2312" w:eastAsia="仿宋_GB2312"/>
          <w:color w:val="000000" w:themeColor="text1"/>
          <w:sz w:val="32"/>
          <w:szCs w:val="32"/>
          <w14:textFill>
            <w14:solidFill>
              <w14:schemeClr w14:val="tx1"/>
            </w14:solidFill>
          </w14:textFill>
        </w:rPr>
        <w:t>月</w:t>
      </w:r>
      <w:r>
        <w:rPr>
          <w:rFonts w:hint="eastAsia" w:ascii="仿宋_GB2312" w:eastAsia="仿宋_GB2312"/>
          <w:color w:val="000000" w:themeColor="text1"/>
          <w:sz w:val="32"/>
          <w:szCs w:val="32"/>
          <w:lang w:val="en-US" w:eastAsia="zh-CN"/>
          <w14:textFill>
            <w14:solidFill>
              <w14:schemeClr w14:val="tx1"/>
            </w14:solidFill>
          </w14:textFill>
        </w:rPr>
        <w:t>4</w:t>
      </w:r>
      <w:r>
        <w:rPr>
          <w:rFonts w:hint="eastAsia" w:ascii="仿宋_GB2312" w:eastAsia="仿宋_GB2312"/>
          <w:color w:val="000000" w:themeColor="text1"/>
          <w:sz w:val="32"/>
          <w:szCs w:val="32"/>
          <w14:textFill>
            <w14:solidFill>
              <w14:schemeClr w14:val="tx1"/>
            </w14:solidFill>
          </w14:textFill>
        </w:rPr>
        <w:t>日印发</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zh-CN" w:eastAsia="zh-CN"/>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50800</wp:posOffset>
                </wp:positionV>
                <wp:extent cx="5486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486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5pt;margin-top:4pt;height:0pt;width:432pt;z-index:251663360;mso-width-relative:page;mso-height-relative:page;" filled="f" stroked="t" coordsize="21600,21600" o:gfxdata="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V9rjX0wAAAAUBAAAPAAAAAAAAAAEA&#10;IAAAACIAAABkcnMvZG93bnJldi54bWxQSwECFAAUAAAACACHTuJADVeu39sBAACYAwAADgAAAAAA&#10;AAABACAAAAAiAQAAZHJzL2Uyb0RvYy54bWxQSwUGAAAAAAYABgBZAQAAbwUAAAAA&#10;">
                <v:fill on="f" focussize="0,0"/>
                <v:stroke color="#000000" joinstyle="round"/>
                <v:imagedata o:title=""/>
                <o:lock v:ext="edit" aspectratio="f"/>
              </v:line>
            </w:pict>
          </mc:Fallback>
        </mc:AlternateContent>
      </w:r>
    </w:p>
    <w:p>
      <w:pPr>
        <w:spacing w:line="360" w:lineRule="auto"/>
        <w:rPr>
          <w:rFonts w:hint="eastAsia"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附件1：</w:t>
      </w:r>
    </w:p>
    <w:p>
      <w:pPr>
        <w:spacing w:line="360" w:lineRule="auto"/>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892800" cy="8037195"/>
            <wp:effectExtent l="0" t="0" r="12700" b="190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6"/>
                    <a:stretch>
                      <a:fillRect/>
                    </a:stretch>
                  </pic:blipFill>
                  <pic:spPr>
                    <a:xfrm>
                      <a:off x="0" y="0"/>
                      <a:ext cx="5892800" cy="8037195"/>
                    </a:xfrm>
                    <a:prstGeom prst="rect">
                      <a:avLst/>
                    </a:prstGeom>
                    <a:noFill/>
                    <a:ln w="9525">
                      <a:noFill/>
                    </a:ln>
                  </pic:spPr>
                </pic:pic>
              </a:graphicData>
            </a:graphic>
          </wp:inline>
        </w:drawing>
      </w:r>
    </w:p>
    <w:p>
      <w:pPr>
        <w:pStyle w:val="2"/>
        <w:spacing w:line="360" w:lineRule="auto"/>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673725" cy="8578215"/>
            <wp:effectExtent l="0" t="0" r="3175" b="1333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7"/>
                    <a:stretch>
                      <a:fillRect/>
                    </a:stretch>
                  </pic:blipFill>
                  <pic:spPr>
                    <a:xfrm>
                      <a:off x="0" y="0"/>
                      <a:ext cx="5673725" cy="8578215"/>
                    </a:xfrm>
                    <a:prstGeom prst="rect">
                      <a:avLst/>
                    </a:prstGeom>
                    <a:noFill/>
                    <a:ln w="9525">
                      <a:noFill/>
                    </a:ln>
                  </pic:spPr>
                </pic:pic>
              </a:graphicData>
            </a:graphic>
          </wp:inline>
        </w:drawing>
      </w:r>
    </w:p>
    <w:p>
      <w:pPr>
        <w:pStyle w:val="2"/>
        <w:spacing w:line="360" w:lineRule="auto"/>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621020" cy="8514715"/>
            <wp:effectExtent l="0" t="0" r="17780"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8"/>
                    <a:stretch>
                      <a:fillRect/>
                    </a:stretch>
                  </pic:blipFill>
                  <pic:spPr>
                    <a:xfrm>
                      <a:off x="0" y="0"/>
                      <a:ext cx="5621020" cy="8514715"/>
                    </a:xfrm>
                    <a:prstGeom prst="rect">
                      <a:avLst/>
                    </a:prstGeom>
                    <a:noFill/>
                    <a:ln w="9525">
                      <a:noFill/>
                    </a:ln>
                  </pic:spPr>
                </pic:pic>
              </a:graphicData>
            </a:graphic>
          </wp:inline>
        </w:drawing>
      </w:r>
    </w:p>
    <w:p>
      <w:pPr>
        <w:pStyle w:val="2"/>
        <w:spacing w:line="360" w:lineRule="auto"/>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551805" cy="8519160"/>
            <wp:effectExtent l="0" t="0" r="10795" b="1524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9"/>
                    <a:stretch>
                      <a:fillRect/>
                    </a:stretch>
                  </pic:blipFill>
                  <pic:spPr>
                    <a:xfrm>
                      <a:off x="0" y="0"/>
                      <a:ext cx="5551805" cy="8519160"/>
                    </a:xfrm>
                    <a:prstGeom prst="rect">
                      <a:avLst/>
                    </a:prstGeom>
                    <a:noFill/>
                    <a:ln w="9525">
                      <a:noFill/>
                    </a:ln>
                  </pic:spPr>
                </pic:pic>
              </a:graphicData>
            </a:graphic>
          </wp:inline>
        </w:drawing>
      </w:r>
    </w:p>
    <w:p>
      <w:pPr>
        <w:pStyle w:val="2"/>
        <w:spacing w:line="360" w:lineRule="auto"/>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635625" cy="8616950"/>
            <wp:effectExtent l="0" t="0" r="3175" b="1270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0"/>
                    <a:stretch>
                      <a:fillRect/>
                    </a:stretch>
                  </pic:blipFill>
                  <pic:spPr>
                    <a:xfrm>
                      <a:off x="0" y="0"/>
                      <a:ext cx="5635625" cy="8616950"/>
                    </a:xfrm>
                    <a:prstGeom prst="rect">
                      <a:avLst/>
                    </a:prstGeom>
                    <a:noFill/>
                    <a:ln w="9525">
                      <a:noFill/>
                    </a:ln>
                  </pic:spPr>
                </pic:pic>
              </a:graphicData>
            </a:graphic>
          </wp:inline>
        </w:drawing>
      </w:r>
    </w:p>
    <w:p>
      <w:pPr>
        <w:pStyle w:val="2"/>
        <w:spacing w:line="360" w:lineRule="auto"/>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658485" cy="8550275"/>
            <wp:effectExtent l="0" t="0" r="18415" b="31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1"/>
                    <a:stretch>
                      <a:fillRect/>
                    </a:stretch>
                  </pic:blipFill>
                  <pic:spPr>
                    <a:xfrm>
                      <a:off x="0" y="0"/>
                      <a:ext cx="5658485" cy="8550275"/>
                    </a:xfrm>
                    <a:prstGeom prst="rect">
                      <a:avLst/>
                    </a:prstGeom>
                    <a:noFill/>
                    <a:ln w="9525">
                      <a:noFill/>
                    </a:ln>
                  </pic:spPr>
                </pic:pic>
              </a:graphicData>
            </a:graphic>
          </wp:inline>
        </w:drawing>
      </w:r>
    </w:p>
    <w:p>
      <w:pPr>
        <w:pStyle w:val="2"/>
        <w:spacing w:line="360" w:lineRule="auto"/>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640705" cy="8545830"/>
            <wp:effectExtent l="0" t="0" r="17145"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2"/>
                    <a:stretch>
                      <a:fillRect/>
                    </a:stretch>
                  </pic:blipFill>
                  <pic:spPr>
                    <a:xfrm>
                      <a:off x="0" y="0"/>
                      <a:ext cx="5640705" cy="8545830"/>
                    </a:xfrm>
                    <a:prstGeom prst="rect">
                      <a:avLst/>
                    </a:prstGeom>
                    <a:noFill/>
                    <a:ln w="9525">
                      <a:noFill/>
                    </a:ln>
                  </pic:spPr>
                </pic:pic>
              </a:graphicData>
            </a:graphic>
          </wp:inline>
        </w:drawing>
      </w:r>
    </w:p>
    <w:p>
      <w:pPr>
        <w:pStyle w:val="2"/>
        <w:spacing w:line="360" w:lineRule="auto"/>
        <w:ind w:left="0" w:leftChars="0" w:firstLine="0" w:firstLineChars="0"/>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588000" cy="8505190"/>
            <wp:effectExtent l="0" t="0" r="12700" b="1016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13"/>
                    <a:stretch>
                      <a:fillRect/>
                    </a:stretch>
                  </pic:blipFill>
                  <pic:spPr>
                    <a:xfrm>
                      <a:off x="0" y="0"/>
                      <a:ext cx="5588000" cy="8505190"/>
                    </a:xfrm>
                    <a:prstGeom prst="rect">
                      <a:avLst/>
                    </a:prstGeom>
                    <a:noFill/>
                    <a:ln w="9525">
                      <a:noFill/>
                    </a:ln>
                  </pic:spPr>
                </pic:pic>
              </a:graphicData>
            </a:graphic>
          </wp:inline>
        </w:drawing>
      </w:r>
    </w:p>
    <w:p>
      <w:pPr>
        <w:spacing w:line="360" w:lineRule="auto"/>
        <w:rPr>
          <w:rFonts w:hint="eastAsia"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 xml:space="preserve">附件2:  </w:t>
      </w:r>
    </w:p>
    <w:p>
      <w:pPr>
        <w:ind w:firstLine="1325" w:firstLineChars="300"/>
        <w:jc w:val="both"/>
        <w:rPr>
          <w:rFonts w:hint="eastAsia" w:ascii="宋体" w:hAnsi="宋体"/>
          <w:b/>
          <w:color w:val="000000" w:themeColor="text1"/>
          <w:sz w:val="44"/>
          <w:szCs w:val="44"/>
          <w:lang w:eastAsia="zh-CN"/>
          <w14:textFill>
            <w14:solidFill>
              <w14:schemeClr w14:val="tx1"/>
            </w14:solidFill>
          </w14:textFill>
        </w:rPr>
      </w:pPr>
    </w:p>
    <w:p>
      <w:pPr>
        <w:ind w:firstLine="1325" w:firstLineChars="300"/>
        <w:jc w:val="both"/>
        <w:rPr>
          <w:rFonts w:hint="eastAsia" w:ascii="宋体" w:hAnsi="宋体"/>
          <w:b/>
          <w:color w:val="000000" w:themeColor="text1"/>
          <w:sz w:val="44"/>
          <w:szCs w:val="44"/>
          <w14:textFill>
            <w14:solidFill>
              <w14:schemeClr w14:val="tx1"/>
            </w14:solidFill>
          </w14:textFill>
        </w:rPr>
      </w:pPr>
      <w:r>
        <w:rPr>
          <w:rFonts w:hint="eastAsia" w:ascii="宋体" w:hAnsi="宋体"/>
          <w:b/>
          <w:color w:val="000000" w:themeColor="text1"/>
          <w:sz w:val="44"/>
          <w:szCs w:val="44"/>
          <w:lang w:eastAsia="zh-CN"/>
          <w14:textFill>
            <w14:solidFill>
              <w14:schemeClr w14:val="tx1"/>
            </w14:solidFill>
          </w14:textFill>
        </w:rPr>
        <w:t>近年部分获市科学技术奖</w:t>
      </w:r>
      <w:r>
        <w:rPr>
          <w:rFonts w:hint="eastAsia" w:ascii="宋体" w:hAnsi="宋体"/>
          <w:b/>
          <w:color w:val="000000" w:themeColor="text1"/>
          <w:sz w:val="44"/>
          <w:szCs w:val="44"/>
          <w14:textFill>
            <w14:solidFill>
              <w14:schemeClr w14:val="tx1"/>
            </w14:solidFill>
          </w14:textFill>
        </w:rPr>
        <w:t>项目名单</w:t>
      </w:r>
    </w:p>
    <w:p>
      <w:pPr>
        <w:jc w:val="center"/>
        <w:rPr>
          <w:rFonts w:hint="eastAsia" w:ascii="宋体" w:hAnsi="宋体"/>
          <w:b/>
          <w:color w:val="000000" w:themeColor="text1"/>
          <w:sz w:val="18"/>
          <w:szCs w:val="18"/>
          <w14:textFill>
            <w14:solidFill>
              <w14:schemeClr w14:val="tx1"/>
            </w14:solidFill>
          </w14:textFill>
        </w:rPr>
      </w:pPr>
    </w:p>
    <w:p>
      <w:pPr>
        <w:rPr>
          <w:rFonts w:hint="eastAsia"/>
          <w:b/>
          <w:color w:val="000000" w:themeColor="text1"/>
          <w:sz w:val="18"/>
          <w:szCs w:val="18"/>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b/>
          <w:color w:val="000000" w:themeColor="text1"/>
          <w:sz w:val="18"/>
          <w:szCs w:val="18"/>
          <w14:textFill>
            <w14:solidFill>
              <w14:schemeClr w14:val="tx1"/>
            </w14:solidFill>
          </w14:textFill>
        </w:rPr>
        <w:t xml:space="preserve">                                                                                   </w:t>
      </w:r>
    </w:p>
    <w:tbl>
      <w:tblPr>
        <w:tblStyle w:val="11"/>
        <w:tblW w:w="9220" w:type="dxa"/>
        <w:jc w:val="center"/>
        <w:tblInd w:w="0" w:type="dxa"/>
        <w:tblLayout w:type="fixed"/>
        <w:tblCellMar>
          <w:top w:w="0" w:type="dxa"/>
          <w:left w:w="108" w:type="dxa"/>
          <w:bottom w:w="0" w:type="dxa"/>
          <w:right w:w="108" w:type="dxa"/>
        </w:tblCellMar>
      </w:tblPr>
      <w:tblGrid>
        <w:gridCol w:w="762"/>
        <w:gridCol w:w="2709"/>
        <w:gridCol w:w="3623"/>
        <w:gridCol w:w="986"/>
        <w:gridCol w:w="1140"/>
      </w:tblGrid>
      <w:tr>
        <w:tblPrEx>
          <w:tblLayout w:type="fixed"/>
          <w:tblCellMar>
            <w:top w:w="0" w:type="dxa"/>
            <w:left w:w="108" w:type="dxa"/>
            <w:bottom w:w="0" w:type="dxa"/>
            <w:right w:w="108" w:type="dxa"/>
          </w:tblCellMar>
        </w:tblPrEx>
        <w:trPr>
          <w:trHeight w:val="822"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黑体" w:eastAsia="黑体" w:cs="宋体"/>
                <w:b/>
                <w:bCs/>
                <w:color w:val="000000" w:themeColor="text1"/>
                <w:kern w:val="0"/>
                <w:sz w:val="24"/>
                <w14:textFill>
                  <w14:solidFill>
                    <w14:schemeClr w14:val="tx1"/>
                  </w14:solidFill>
                </w14:textFill>
              </w:rPr>
            </w:pPr>
            <w:r>
              <w:rPr>
                <w:rFonts w:hint="eastAsia" w:ascii="黑体" w:eastAsia="黑体" w:cs="宋体"/>
                <w:b/>
                <w:bCs/>
                <w:color w:val="000000" w:themeColor="text1"/>
                <w:kern w:val="0"/>
                <w:sz w:val="24"/>
                <w14:textFill>
                  <w14:solidFill>
                    <w14:schemeClr w14:val="tx1"/>
                  </w14:solidFill>
                </w14:textFill>
              </w:rPr>
              <w:t>序号</w:t>
            </w:r>
          </w:p>
        </w:tc>
        <w:tc>
          <w:tcPr>
            <w:tcW w:w="2709"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黑体" w:eastAsia="黑体" w:cs="宋体"/>
                <w:b/>
                <w:bCs/>
                <w:color w:val="000000" w:themeColor="text1"/>
                <w:kern w:val="0"/>
                <w:sz w:val="24"/>
                <w14:textFill>
                  <w14:solidFill>
                    <w14:schemeClr w14:val="tx1"/>
                  </w14:solidFill>
                </w14:textFill>
              </w:rPr>
            </w:pPr>
            <w:r>
              <w:rPr>
                <w:rFonts w:hint="eastAsia" w:ascii="黑体" w:eastAsia="黑体" w:cs="宋体"/>
                <w:b/>
                <w:bCs/>
                <w:color w:val="000000" w:themeColor="text1"/>
                <w:kern w:val="0"/>
                <w:sz w:val="24"/>
                <w14:textFill>
                  <w14:solidFill>
                    <w14:schemeClr w14:val="tx1"/>
                  </w14:solidFill>
                </w14:textFill>
              </w:rPr>
              <w:t>项目名称</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黑体" w:eastAsia="黑体" w:cs="宋体"/>
                <w:b/>
                <w:bCs/>
                <w:color w:val="000000" w:themeColor="text1"/>
                <w:kern w:val="0"/>
                <w:sz w:val="24"/>
                <w14:textFill>
                  <w14:solidFill>
                    <w14:schemeClr w14:val="tx1"/>
                  </w14:solidFill>
                </w14:textFill>
              </w:rPr>
            </w:pPr>
            <w:r>
              <w:rPr>
                <w:rFonts w:hint="eastAsia" w:ascii="黑体" w:eastAsia="黑体" w:cs="宋体"/>
                <w:b/>
                <w:bCs/>
                <w:color w:val="000000" w:themeColor="text1"/>
                <w:kern w:val="0"/>
                <w:sz w:val="24"/>
                <w14:textFill>
                  <w14:solidFill>
                    <w14:schemeClr w14:val="tx1"/>
                  </w14:solidFill>
                </w14:textFill>
              </w:rPr>
              <w:t>完成单位</w:t>
            </w:r>
          </w:p>
        </w:tc>
        <w:tc>
          <w:tcPr>
            <w:tcW w:w="986"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黑体" w:eastAsia="黑体" w:cs="宋体"/>
                <w:b/>
                <w:bCs/>
                <w:color w:val="000000" w:themeColor="text1"/>
                <w:kern w:val="0"/>
                <w:sz w:val="24"/>
                <w14:textFill>
                  <w14:solidFill>
                    <w14:schemeClr w14:val="tx1"/>
                  </w14:solidFill>
                </w14:textFill>
              </w:rPr>
            </w:pPr>
            <w:r>
              <w:rPr>
                <w:rFonts w:hint="eastAsia" w:ascii="黑体" w:eastAsia="黑体" w:cs="宋体"/>
                <w:b/>
                <w:bCs/>
                <w:color w:val="000000" w:themeColor="text1"/>
                <w:kern w:val="0"/>
                <w:sz w:val="24"/>
                <w:lang w:eastAsia="zh-CN"/>
                <w14:textFill>
                  <w14:solidFill>
                    <w14:schemeClr w14:val="tx1"/>
                  </w14:solidFill>
                </w14:textFill>
              </w:rPr>
              <w:t>原</w:t>
            </w:r>
            <w:r>
              <w:rPr>
                <w:rFonts w:hint="eastAsia" w:ascii="黑体" w:eastAsia="黑体" w:cs="宋体"/>
                <w:b/>
                <w:bCs/>
                <w:color w:val="000000" w:themeColor="text1"/>
                <w:kern w:val="0"/>
                <w:sz w:val="24"/>
                <w14:textFill>
                  <w14:solidFill>
                    <w14:schemeClr w14:val="tx1"/>
                  </w14:solidFill>
                </w14:textFill>
              </w:rPr>
              <w:t>推荐单位</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黑体" w:eastAsia="黑体" w:cs="宋体"/>
                <w:b/>
                <w:bCs/>
                <w:color w:val="000000" w:themeColor="text1"/>
                <w:kern w:val="0"/>
                <w:sz w:val="24"/>
                <w:lang w:eastAsia="zh-CN"/>
                <w14:textFill>
                  <w14:solidFill>
                    <w14:schemeClr w14:val="tx1"/>
                  </w14:solidFill>
                </w14:textFill>
              </w:rPr>
            </w:pPr>
            <w:r>
              <w:rPr>
                <w:rFonts w:hint="eastAsia" w:ascii="黑体" w:eastAsia="黑体" w:cs="宋体"/>
                <w:b/>
                <w:bCs/>
                <w:color w:val="000000" w:themeColor="text1"/>
                <w:kern w:val="0"/>
                <w:sz w:val="24"/>
                <w:lang w:eastAsia="zh-CN"/>
                <w14:textFill>
                  <w14:solidFill>
                    <w14:schemeClr w14:val="tx1"/>
                  </w14:solidFill>
                </w14:textFill>
              </w:rPr>
              <w:t>备注</w:t>
            </w:r>
          </w:p>
        </w:tc>
      </w:tr>
      <w:tr>
        <w:tblPrEx>
          <w:tblLayout w:type="fixed"/>
          <w:tblCellMar>
            <w:top w:w="0" w:type="dxa"/>
            <w:left w:w="108" w:type="dxa"/>
            <w:bottom w:w="0" w:type="dxa"/>
            <w:right w:w="108" w:type="dxa"/>
          </w:tblCellMar>
        </w:tblPrEx>
        <w:trPr>
          <w:trHeight w:val="925"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4"/>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1</w:t>
            </w:r>
          </w:p>
        </w:tc>
        <w:tc>
          <w:tcPr>
            <w:tcW w:w="2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菜田粉虱灾变规律及防控关键技术研究与示范</w:t>
            </w:r>
          </w:p>
        </w:tc>
        <w:tc>
          <w:tcPr>
            <w:tcW w:w="36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 xml:space="preserve">陕西省生物农业研究所          </w:t>
            </w:r>
          </w:p>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 xml:space="preserve">渭南市农业0技术推广中心                      渭南渭丰源农业科技有限公司 </w:t>
            </w:r>
          </w:p>
        </w:tc>
        <w:tc>
          <w:tcPr>
            <w:tcW w:w="98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市农技中心</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2017年度市科技奖</w:t>
            </w:r>
          </w:p>
        </w:tc>
      </w:tr>
      <w:tr>
        <w:tblPrEx>
          <w:tblLayout w:type="fixed"/>
          <w:tblCellMar>
            <w:top w:w="0" w:type="dxa"/>
            <w:left w:w="108" w:type="dxa"/>
            <w:bottom w:w="0" w:type="dxa"/>
            <w:right w:w="108" w:type="dxa"/>
          </w:tblCellMar>
        </w:tblPrEx>
        <w:trPr>
          <w:trHeight w:val="969"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4"/>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2</w:t>
            </w:r>
          </w:p>
        </w:tc>
        <w:tc>
          <w:tcPr>
            <w:tcW w:w="2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一种自走式全日粮饲草搅拌车</w:t>
            </w:r>
          </w:p>
        </w:tc>
        <w:tc>
          <w:tcPr>
            <w:tcW w:w="36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陕西润牧农业科技有限公司</w:t>
            </w:r>
          </w:p>
        </w:tc>
        <w:tc>
          <w:tcPr>
            <w:tcW w:w="98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富平县科技局</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2017年度市科技奖</w:t>
            </w:r>
          </w:p>
        </w:tc>
      </w:tr>
      <w:tr>
        <w:tblPrEx>
          <w:tblLayout w:type="fixed"/>
          <w:tblCellMar>
            <w:top w:w="0" w:type="dxa"/>
            <w:left w:w="108" w:type="dxa"/>
            <w:bottom w:w="0" w:type="dxa"/>
            <w:right w:w="108" w:type="dxa"/>
          </w:tblCellMar>
        </w:tblPrEx>
        <w:trPr>
          <w:trHeight w:val="823"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4"/>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3</w:t>
            </w:r>
          </w:p>
        </w:tc>
        <w:tc>
          <w:tcPr>
            <w:tcW w:w="2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春雷霉素工艺优化与产业化</w:t>
            </w:r>
          </w:p>
        </w:tc>
        <w:tc>
          <w:tcPr>
            <w:tcW w:w="36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陕西麦可罗生物科技有限公司</w:t>
            </w:r>
          </w:p>
        </w:tc>
        <w:tc>
          <w:tcPr>
            <w:tcW w:w="98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蒲城县科技局</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2017年度市科技奖</w:t>
            </w:r>
          </w:p>
        </w:tc>
      </w:tr>
      <w:tr>
        <w:tblPrEx>
          <w:tblLayout w:type="fixed"/>
          <w:tblCellMar>
            <w:top w:w="0" w:type="dxa"/>
            <w:left w:w="108" w:type="dxa"/>
            <w:bottom w:w="0" w:type="dxa"/>
            <w:right w:w="108" w:type="dxa"/>
          </w:tblCellMar>
        </w:tblPrEx>
        <w:trPr>
          <w:trHeight w:val="1193"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4"/>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4</w:t>
            </w:r>
          </w:p>
        </w:tc>
        <w:tc>
          <w:tcPr>
            <w:tcW w:w="2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“农掌门”互联网+农业科技服务系统研发与技术推广</w:t>
            </w:r>
          </w:p>
        </w:tc>
        <w:tc>
          <w:tcPr>
            <w:tcW w:w="36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陕西康田慧农农业科技有限公司                          渭南市农业科学研究所            西安电子科技大学计算机信息应用研究中心</w:t>
            </w:r>
          </w:p>
        </w:tc>
        <w:tc>
          <w:tcPr>
            <w:tcW w:w="98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渭南市    农业局</w:t>
            </w:r>
          </w:p>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蒲城县科技局</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2017年度市科技奖</w:t>
            </w:r>
          </w:p>
        </w:tc>
      </w:tr>
      <w:tr>
        <w:tblPrEx>
          <w:tblLayout w:type="fixed"/>
          <w:tblCellMar>
            <w:top w:w="0" w:type="dxa"/>
            <w:left w:w="108" w:type="dxa"/>
            <w:bottom w:w="0" w:type="dxa"/>
            <w:right w:w="108" w:type="dxa"/>
          </w:tblCellMar>
        </w:tblPrEx>
        <w:trPr>
          <w:trHeight w:val="875"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4"/>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5</w:t>
            </w:r>
          </w:p>
        </w:tc>
        <w:tc>
          <w:tcPr>
            <w:tcW w:w="2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基于新一代知识重用的肺癌计算机辅助诊断平台系统</w:t>
            </w:r>
          </w:p>
        </w:tc>
        <w:tc>
          <w:tcPr>
            <w:tcW w:w="36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陕西渭南神州德信医学成像技术有限公司</w:t>
            </w:r>
          </w:p>
        </w:tc>
        <w:tc>
          <w:tcPr>
            <w:tcW w:w="98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高新区经发局</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2017年度市科技奖</w:t>
            </w:r>
          </w:p>
        </w:tc>
      </w:tr>
      <w:tr>
        <w:tblPrEx>
          <w:tblLayout w:type="fixed"/>
          <w:tblCellMar>
            <w:top w:w="0" w:type="dxa"/>
            <w:left w:w="108" w:type="dxa"/>
            <w:bottom w:w="0" w:type="dxa"/>
            <w:right w:w="108" w:type="dxa"/>
          </w:tblCellMar>
        </w:tblPrEx>
        <w:trPr>
          <w:trHeight w:val="890"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4"/>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6</w:t>
            </w:r>
          </w:p>
        </w:tc>
        <w:tc>
          <w:tcPr>
            <w:tcW w:w="2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甲氧基丙烯酸酯类环境友好型水分散粒剂的研发与应用</w:t>
            </w:r>
          </w:p>
        </w:tc>
        <w:tc>
          <w:tcPr>
            <w:tcW w:w="36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陕西标正作物科学有限公司</w:t>
            </w:r>
          </w:p>
        </w:tc>
        <w:tc>
          <w:tcPr>
            <w:tcW w:w="98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高新区经发局</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2017年度市科技奖</w:t>
            </w:r>
          </w:p>
        </w:tc>
      </w:tr>
      <w:tr>
        <w:tblPrEx>
          <w:tblLayout w:type="fixed"/>
          <w:tblCellMar>
            <w:top w:w="0" w:type="dxa"/>
            <w:left w:w="108" w:type="dxa"/>
            <w:bottom w:w="0" w:type="dxa"/>
            <w:right w:w="108" w:type="dxa"/>
          </w:tblCellMar>
        </w:tblPrEx>
        <w:trPr>
          <w:trHeight w:val="1064"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4"/>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7</w:t>
            </w:r>
          </w:p>
        </w:tc>
        <w:tc>
          <w:tcPr>
            <w:tcW w:w="2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渭北旱地苹果栽培技术集成、示范与推广</w:t>
            </w:r>
          </w:p>
        </w:tc>
        <w:tc>
          <w:tcPr>
            <w:tcW w:w="36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left="210" w:hanging="210" w:hangingChars="100"/>
              <w:jc w:val="left"/>
              <w:textAlignment w:val="cente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 xml:space="preserve">白水县园艺站             </w:t>
            </w:r>
          </w:p>
          <w:p>
            <w:pPr>
              <w:keepNext w:val="0"/>
              <w:keepLines w:val="0"/>
              <w:widowControl/>
              <w:suppressLineNumbers w:val="0"/>
              <w:ind w:left="210" w:leftChars="0" w:hanging="210" w:hangingChars="10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西北农林科技大学园艺学院</w:t>
            </w:r>
          </w:p>
        </w:tc>
        <w:tc>
          <w:tcPr>
            <w:tcW w:w="98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白水县科技局</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2017年度市科技奖</w:t>
            </w:r>
          </w:p>
        </w:tc>
      </w:tr>
      <w:tr>
        <w:tblPrEx>
          <w:tblLayout w:type="fixed"/>
          <w:tblCellMar>
            <w:top w:w="0" w:type="dxa"/>
            <w:left w:w="108" w:type="dxa"/>
            <w:bottom w:w="0" w:type="dxa"/>
            <w:right w:w="108" w:type="dxa"/>
          </w:tblCellMar>
        </w:tblPrEx>
        <w:trPr>
          <w:trHeight w:val="971"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4"/>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8</w:t>
            </w:r>
          </w:p>
        </w:tc>
        <w:tc>
          <w:tcPr>
            <w:tcW w:w="2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数论函数及其模形式理论在交通网络优化中的应用研究</w:t>
            </w:r>
          </w:p>
        </w:tc>
        <w:tc>
          <w:tcPr>
            <w:tcW w:w="36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渭南师范学院</w:t>
            </w:r>
          </w:p>
        </w:tc>
        <w:tc>
          <w:tcPr>
            <w:tcW w:w="98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渭南师范学院</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2017年度市科技奖</w:t>
            </w:r>
          </w:p>
        </w:tc>
      </w:tr>
      <w:tr>
        <w:tblPrEx>
          <w:tblLayout w:type="fixed"/>
          <w:tblCellMar>
            <w:top w:w="0" w:type="dxa"/>
            <w:left w:w="108" w:type="dxa"/>
            <w:bottom w:w="0" w:type="dxa"/>
            <w:right w:w="108" w:type="dxa"/>
          </w:tblCellMar>
        </w:tblPrEx>
        <w:trPr>
          <w:trHeight w:val="822"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4"/>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9</w:t>
            </w:r>
          </w:p>
        </w:tc>
        <w:tc>
          <w:tcPr>
            <w:tcW w:w="2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基于数论的算法设计及在信息科学中的应用研究</w:t>
            </w:r>
          </w:p>
        </w:tc>
        <w:tc>
          <w:tcPr>
            <w:tcW w:w="36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渭南师范学院</w:t>
            </w:r>
          </w:p>
        </w:tc>
        <w:tc>
          <w:tcPr>
            <w:tcW w:w="98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渭南师范学院</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2017年度市科技奖</w:t>
            </w:r>
          </w:p>
        </w:tc>
      </w:tr>
      <w:tr>
        <w:tblPrEx>
          <w:tblLayout w:type="fixed"/>
          <w:tblCellMar>
            <w:top w:w="0" w:type="dxa"/>
            <w:left w:w="108" w:type="dxa"/>
            <w:bottom w:w="0" w:type="dxa"/>
            <w:right w:w="108" w:type="dxa"/>
          </w:tblCellMar>
        </w:tblPrEx>
        <w:trPr>
          <w:trHeight w:val="792"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4"/>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10</w:t>
            </w:r>
          </w:p>
        </w:tc>
        <w:tc>
          <w:tcPr>
            <w:tcW w:w="2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IC卡智能灌溉控制终端系统</w:t>
            </w:r>
          </w:p>
        </w:tc>
        <w:tc>
          <w:tcPr>
            <w:tcW w:w="36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陕西沃泰科技股份有限公司</w:t>
            </w:r>
          </w:p>
        </w:tc>
        <w:tc>
          <w:tcPr>
            <w:tcW w:w="98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高新区经发局</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2017年度市科技奖</w:t>
            </w:r>
          </w:p>
        </w:tc>
      </w:tr>
      <w:tr>
        <w:tblPrEx>
          <w:tblLayout w:type="fixed"/>
          <w:tblCellMar>
            <w:top w:w="0" w:type="dxa"/>
            <w:left w:w="108" w:type="dxa"/>
            <w:bottom w:w="0" w:type="dxa"/>
            <w:right w:w="108" w:type="dxa"/>
          </w:tblCellMar>
        </w:tblPrEx>
        <w:trPr>
          <w:trHeight w:val="68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4"/>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11</w:t>
            </w:r>
          </w:p>
        </w:tc>
        <w:tc>
          <w:tcPr>
            <w:tcW w:w="2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斑马鱼母源性补体的传递与功能研究</w:t>
            </w:r>
          </w:p>
        </w:tc>
        <w:tc>
          <w:tcPr>
            <w:tcW w:w="36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渭南师范学院</w:t>
            </w:r>
          </w:p>
        </w:tc>
        <w:tc>
          <w:tcPr>
            <w:tcW w:w="98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渭南师范学院</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2017年度市科技奖</w:t>
            </w:r>
          </w:p>
        </w:tc>
      </w:tr>
      <w:tr>
        <w:tblPrEx>
          <w:tblLayout w:type="fixed"/>
          <w:tblCellMar>
            <w:top w:w="0" w:type="dxa"/>
            <w:left w:w="108" w:type="dxa"/>
            <w:bottom w:w="0" w:type="dxa"/>
            <w:right w:w="108" w:type="dxa"/>
          </w:tblCellMar>
        </w:tblPrEx>
        <w:trPr>
          <w:trHeight w:val="782"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4"/>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12</w:t>
            </w:r>
          </w:p>
        </w:tc>
        <w:tc>
          <w:tcPr>
            <w:tcW w:w="2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阿斯巴甜生产母液回收处理方法与系统</w:t>
            </w:r>
          </w:p>
        </w:tc>
        <w:tc>
          <w:tcPr>
            <w:tcW w:w="36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陕西蓝深特种树脂有限公司</w:t>
            </w:r>
          </w:p>
        </w:tc>
        <w:tc>
          <w:tcPr>
            <w:tcW w:w="98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蒲城县科技局</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2017年度市科技奖</w:t>
            </w:r>
          </w:p>
        </w:tc>
      </w:tr>
      <w:tr>
        <w:tblPrEx>
          <w:tblLayout w:type="fixed"/>
          <w:tblCellMar>
            <w:top w:w="0" w:type="dxa"/>
            <w:left w:w="108" w:type="dxa"/>
            <w:bottom w:w="0" w:type="dxa"/>
            <w:right w:w="108" w:type="dxa"/>
          </w:tblCellMar>
        </w:tblPrEx>
        <w:trPr>
          <w:trHeight w:val="933"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13</w:t>
            </w:r>
          </w:p>
        </w:tc>
        <w:tc>
          <w:tcPr>
            <w:tcW w:w="2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基于红外碳晶电子技术的负离子红外发热板制作方法</w:t>
            </w:r>
          </w:p>
        </w:tc>
        <w:tc>
          <w:tcPr>
            <w:tcW w:w="36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陕西长奇节能环保科技有限公司</w:t>
            </w:r>
          </w:p>
        </w:tc>
        <w:tc>
          <w:tcPr>
            <w:tcW w:w="98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大荔县科技局</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2017年度市科技奖</w:t>
            </w:r>
          </w:p>
        </w:tc>
      </w:tr>
      <w:tr>
        <w:tblPrEx>
          <w:tblLayout w:type="fixed"/>
          <w:tblCellMar>
            <w:top w:w="0" w:type="dxa"/>
            <w:left w:w="108" w:type="dxa"/>
            <w:bottom w:w="0" w:type="dxa"/>
            <w:right w:w="108" w:type="dxa"/>
          </w:tblCellMar>
        </w:tblPrEx>
        <w:trPr>
          <w:trHeight w:val="919"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14</w:t>
            </w:r>
          </w:p>
        </w:tc>
        <w:tc>
          <w:tcPr>
            <w:tcW w:w="2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双向全自动数控弯箍机</w:t>
            </w:r>
          </w:p>
        </w:tc>
        <w:tc>
          <w:tcPr>
            <w:tcW w:w="36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陕西勇拓机械科技有限公司</w:t>
            </w:r>
          </w:p>
        </w:tc>
        <w:tc>
          <w:tcPr>
            <w:tcW w:w="98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富平县科技局</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2017年度市科技奖</w:t>
            </w:r>
          </w:p>
        </w:tc>
      </w:tr>
      <w:tr>
        <w:tblPrEx>
          <w:tblLayout w:type="fixed"/>
          <w:tblCellMar>
            <w:top w:w="0" w:type="dxa"/>
            <w:left w:w="108" w:type="dxa"/>
            <w:bottom w:w="0" w:type="dxa"/>
            <w:right w:w="108" w:type="dxa"/>
          </w:tblCellMar>
        </w:tblPrEx>
        <w:trPr>
          <w:trHeight w:val="733"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15</w:t>
            </w:r>
          </w:p>
        </w:tc>
        <w:tc>
          <w:tcPr>
            <w:tcW w:w="2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ME尺寸提取系统V9.0的研发与应用</w:t>
            </w:r>
          </w:p>
        </w:tc>
        <w:tc>
          <w:tcPr>
            <w:tcW w:w="36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渭南领智三维科技有限公司</w:t>
            </w:r>
          </w:p>
        </w:tc>
        <w:tc>
          <w:tcPr>
            <w:tcW w:w="98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高新区经发局</w:t>
            </w:r>
          </w:p>
        </w:tc>
        <w:tc>
          <w:tcPr>
            <w:tcW w:w="114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1"/>
                <w:szCs w:val="21"/>
                <w:u w:val="none"/>
                <w:lang w:val="en-US" w:eastAsia="zh-CN" w:bidi="ar"/>
                <w14:textFill>
                  <w14:solidFill>
                    <w14:schemeClr w14:val="tx1"/>
                  </w14:solidFill>
                </w14:textFill>
              </w:rPr>
              <w:t>2017年度市科技奖</w:t>
            </w:r>
          </w:p>
        </w:tc>
      </w:tr>
      <w:tr>
        <w:tblPrEx>
          <w:tblLayout w:type="fixed"/>
          <w:tblCellMar>
            <w:top w:w="0" w:type="dxa"/>
            <w:left w:w="108" w:type="dxa"/>
            <w:bottom w:w="0" w:type="dxa"/>
            <w:right w:w="108" w:type="dxa"/>
          </w:tblCellMar>
        </w:tblPrEx>
        <w:trPr>
          <w:trHeight w:val="903"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16</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温棚冬枣栽培关键技术集成与示范</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大荔县红枣局</w:t>
            </w: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br w:type="textWrapping"/>
            </w: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大荔县果业局</w:t>
            </w: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br w:type="textWrapping"/>
            </w: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西北农林科技大学</w:t>
            </w:r>
          </w:p>
        </w:tc>
        <w:tc>
          <w:tcPr>
            <w:tcW w:w="986"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大荔县 科技局</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2016年度市科技奖</w:t>
            </w:r>
          </w:p>
        </w:tc>
      </w:tr>
      <w:tr>
        <w:tblPrEx>
          <w:tblLayout w:type="fixed"/>
          <w:tblCellMar>
            <w:top w:w="0" w:type="dxa"/>
            <w:left w:w="108" w:type="dxa"/>
            <w:bottom w:w="0" w:type="dxa"/>
            <w:right w:w="108" w:type="dxa"/>
          </w:tblCellMar>
        </w:tblPrEx>
        <w:trPr>
          <w:trHeight w:val="751"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17</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应用型高等院校智慧教育综合服务平台的设计与优化</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 xml:space="preserve">渭南师范学院                 </w:t>
            </w:r>
          </w:p>
          <w:p>
            <w:pPr>
              <w:widowControl/>
              <w:jc w:val="left"/>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 xml:space="preserve">北京捷成优禾科技有限公司 </w:t>
            </w:r>
          </w:p>
        </w:tc>
        <w:tc>
          <w:tcPr>
            <w:tcW w:w="986"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渭南师  范学院</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2016年度市科技奖</w:t>
            </w:r>
          </w:p>
        </w:tc>
      </w:tr>
      <w:tr>
        <w:tblPrEx>
          <w:tblLayout w:type="fixed"/>
          <w:tblCellMar>
            <w:top w:w="0" w:type="dxa"/>
            <w:left w:w="108" w:type="dxa"/>
            <w:bottom w:w="0" w:type="dxa"/>
            <w:right w:w="108" w:type="dxa"/>
          </w:tblCellMar>
        </w:tblPrEx>
        <w:trPr>
          <w:trHeight w:val="1484"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18</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玉米单粒播种配套栽培技术集成与示范</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 xml:space="preserve">渭南市农业技术推广中心       </w:t>
            </w:r>
          </w:p>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 xml:space="preserve">渭南市农业机械管理局         </w:t>
            </w:r>
          </w:p>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 xml:space="preserve">富平县农业技术推广中心       </w:t>
            </w:r>
          </w:p>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 xml:space="preserve">临渭区农业技术推广中心       </w:t>
            </w:r>
          </w:p>
          <w:p>
            <w:pPr>
              <w:widowControl/>
              <w:jc w:val="left"/>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蒲城县农业技术推广中心</w:t>
            </w:r>
          </w:p>
        </w:tc>
        <w:tc>
          <w:tcPr>
            <w:tcW w:w="986"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渭南市    农业局</w:t>
            </w:r>
          </w:p>
        </w:tc>
        <w:tc>
          <w:tcPr>
            <w:tcW w:w="1140"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2016年度市科技奖</w:t>
            </w:r>
          </w:p>
        </w:tc>
      </w:tr>
      <w:tr>
        <w:tblPrEx>
          <w:tblLayout w:type="fixed"/>
          <w:tblCellMar>
            <w:top w:w="0" w:type="dxa"/>
            <w:left w:w="108" w:type="dxa"/>
            <w:bottom w:w="0" w:type="dxa"/>
            <w:right w:w="108" w:type="dxa"/>
          </w:tblCellMar>
        </w:tblPrEx>
        <w:trPr>
          <w:trHeight w:val="768"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19</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基于物联网的智慧城市供水管网监测终端系统</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陕西沃泰科技股份有限公司</w:t>
            </w:r>
          </w:p>
        </w:tc>
        <w:tc>
          <w:tcPr>
            <w:tcW w:w="986"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高新区 经发局</w:t>
            </w:r>
          </w:p>
        </w:tc>
        <w:tc>
          <w:tcPr>
            <w:tcW w:w="1140"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2016年度市科技奖</w:t>
            </w:r>
          </w:p>
        </w:tc>
      </w:tr>
      <w:tr>
        <w:tblPrEx>
          <w:tblLayout w:type="fixed"/>
          <w:tblCellMar>
            <w:top w:w="0" w:type="dxa"/>
            <w:left w:w="108" w:type="dxa"/>
            <w:bottom w:w="0" w:type="dxa"/>
            <w:right w:w="108" w:type="dxa"/>
          </w:tblCellMar>
        </w:tblPrEx>
        <w:trPr>
          <w:trHeight w:val="69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20</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柿子冰酒酿造新工艺</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 xml:space="preserve">陕西富四方柿业有限公司       </w:t>
            </w:r>
          </w:p>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河南省食品工业科学研究所有限公司</w:t>
            </w:r>
          </w:p>
        </w:tc>
        <w:tc>
          <w:tcPr>
            <w:tcW w:w="986"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富平县  科技局</w:t>
            </w:r>
          </w:p>
        </w:tc>
        <w:tc>
          <w:tcPr>
            <w:tcW w:w="1140"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kern w:val="0"/>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2016年度市科技奖</w:t>
            </w:r>
          </w:p>
        </w:tc>
      </w:tr>
      <w:tr>
        <w:tblPrEx>
          <w:tblLayout w:type="fixed"/>
          <w:tblCellMar>
            <w:top w:w="0" w:type="dxa"/>
            <w:left w:w="108" w:type="dxa"/>
            <w:bottom w:w="0" w:type="dxa"/>
            <w:right w:w="108" w:type="dxa"/>
          </w:tblCellMar>
        </w:tblPrEx>
        <w:trPr>
          <w:trHeight w:val="1076"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21</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轻型单相工频便携式数码1kW汽油发电机组</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陕西红岭机电有限责任公司</w:t>
            </w:r>
          </w:p>
        </w:tc>
        <w:tc>
          <w:tcPr>
            <w:tcW w:w="986"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华州区科技局</w:t>
            </w:r>
          </w:p>
        </w:tc>
        <w:tc>
          <w:tcPr>
            <w:tcW w:w="1140"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2016年度市科技奖</w:t>
            </w:r>
          </w:p>
        </w:tc>
      </w:tr>
      <w:tr>
        <w:tblPrEx>
          <w:tblLayout w:type="fixed"/>
          <w:tblCellMar>
            <w:top w:w="0" w:type="dxa"/>
            <w:left w:w="108" w:type="dxa"/>
            <w:bottom w:w="0" w:type="dxa"/>
            <w:right w:w="108" w:type="dxa"/>
          </w:tblCellMar>
        </w:tblPrEx>
        <w:trPr>
          <w:trHeight w:val="903"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22</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高产抗倒优质小麦新品种天麦535良繁与推广</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 xml:space="preserve">陕西天丞禾农业科技有限公司                     渭南市农业科学研究所          </w:t>
            </w:r>
          </w:p>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临渭区种子管理站</w:t>
            </w:r>
          </w:p>
        </w:tc>
        <w:tc>
          <w:tcPr>
            <w:tcW w:w="986"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临渭区  科技局</w:t>
            </w:r>
          </w:p>
        </w:tc>
        <w:tc>
          <w:tcPr>
            <w:tcW w:w="1140"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2016年度市科技奖</w:t>
            </w:r>
          </w:p>
        </w:tc>
      </w:tr>
      <w:tr>
        <w:tblPrEx>
          <w:tblLayout w:type="fixed"/>
          <w:tblCellMar>
            <w:top w:w="0" w:type="dxa"/>
            <w:left w:w="108" w:type="dxa"/>
            <w:bottom w:w="0" w:type="dxa"/>
            <w:right w:w="108" w:type="dxa"/>
          </w:tblCellMar>
        </w:tblPrEx>
        <w:trPr>
          <w:trHeight w:val="848"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23</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甲氧基丙烯酸酯类新型农药杀菌制剂的研发与应用</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陕西标正作物科学有限公司</w:t>
            </w:r>
          </w:p>
        </w:tc>
        <w:tc>
          <w:tcPr>
            <w:tcW w:w="986"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高新区 经发局</w:t>
            </w:r>
          </w:p>
        </w:tc>
        <w:tc>
          <w:tcPr>
            <w:tcW w:w="1140"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2016年度市科技奖</w:t>
            </w:r>
          </w:p>
        </w:tc>
      </w:tr>
      <w:tr>
        <w:tblPrEx>
          <w:tblLayout w:type="fixed"/>
          <w:tblCellMar>
            <w:top w:w="0" w:type="dxa"/>
            <w:left w:w="108" w:type="dxa"/>
            <w:bottom w:w="0" w:type="dxa"/>
            <w:right w:w="108" w:type="dxa"/>
          </w:tblCellMar>
        </w:tblPrEx>
        <w:trPr>
          <w:trHeight w:val="612"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24</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自走式果园开沟施肥机</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富平县悦达机械制造有限公司</w:t>
            </w:r>
          </w:p>
        </w:tc>
        <w:tc>
          <w:tcPr>
            <w:tcW w:w="986"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富平县  科技局</w:t>
            </w:r>
          </w:p>
        </w:tc>
        <w:tc>
          <w:tcPr>
            <w:tcW w:w="1140"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2016年度市科技奖</w:t>
            </w:r>
          </w:p>
        </w:tc>
      </w:tr>
      <w:tr>
        <w:tblPrEx>
          <w:tblLayout w:type="fixed"/>
          <w:tblCellMar>
            <w:top w:w="0" w:type="dxa"/>
            <w:left w:w="108" w:type="dxa"/>
            <w:bottom w:w="0" w:type="dxa"/>
            <w:right w:w="108" w:type="dxa"/>
          </w:tblCellMar>
        </w:tblPrEx>
        <w:trPr>
          <w:trHeight w:val="903"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25</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基于激光选区熔化成形技术的多孔钛合金结构件的设计与制造</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陕西增材制造研究院有限责任公司</w:t>
            </w:r>
          </w:p>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西安铂力特激光成形技术有限公司</w:t>
            </w:r>
          </w:p>
        </w:tc>
        <w:tc>
          <w:tcPr>
            <w:tcW w:w="986"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高新区</w:t>
            </w:r>
          </w:p>
          <w:p>
            <w:pPr>
              <w:widowControl/>
              <w:jc w:val="cente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经发局</w:t>
            </w:r>
          </w:p>
        </w:tc>
        <w:tc>
          <w:tcPr>
            <w:tcW w:w="1140"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2015年度市科技奖</w:t>
            </w:r>
          </w:p>
        </w:tc>
      </w:tr>
      <w:tr>
        <w:tblPrEx>
          <w:tblLayout w:type="fixed"/>
          <w:tblCellMar>
            <w:top w:w="0" w:type="dxa"/>
            <w:left w:w="108" w:type="dxa"/>
            <w:bottom w:w="0" w:type="dxa"/>
            <w:right w:w="108" w:type="dxa"/>
          </w:tblCellMar>
        </w:tblPrEx>
        <w:trPr>
          <w:trHeight w:val="754"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26</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玉米机收籽粒新品种渭单6000的选育与应用</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陕西天丞禾农业科技有限公司</w:t>
            </w:r>
          </w:p>
        </w:tc>
        <w:tc>
          <w:tcPr>
            <w:tcW w:w="986" w:type="dxa"/>
            <w:tcBorders>
              <w:top w:val="single" w:color="auto" w:sz="4" w:space="0"/>
              <w:left w:val="nil"/>
              <w:bottom w:val="single" w:color="auto" w:sz="4" w:space="0"/>
              <w:right w:val="single" w:color="auto" w:sz="4" w:space="0"/>
            </w:tcBorders>
            <w:vAlign w:val="center"/>
          </w:tcPr>
          <w:p>
            <w:pPr>
              <w:spacing w:line="0" w:lineRule="atLeast"/>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临渭区</w:t>
            </w:r>
          </w:p>
          <w:p>
            <w:pPr>
              <w:spacing w:line="0" w:lineRule="atLeast"/>
              <w:jc w:val="cente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科技局</w:t>
            </w:r>
          </w:p>
        </w:tc>
        <w:tc>
          <w:tcPr>
            <w:tcW w:w="1140"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2015年度市科技奖</w:t>
            </w:r>
          </w:p>
        </w:tc>
      </w:tr>
      <w:tr>
        <w:tblPrEx>
          <w:tblLayout w:type="fixed"/>
          <w:tblCellMar>
            <w:top w:w="0" w:type="dxa"/>
            <w:left w:w="108" w:type="dxa"/>
            <w:bottom w:w="0" w:type="dxa"/>
            <w:right w:w="108" w:type="dxa"/>
          </w:tblCellMar>
        </w:tblPrEx>
        <w:trPr>
          <w:trHeight w:val="856"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27</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TAZJ40200超宽幅电子轴机组式纸张凹版印刷机</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渭南正奇印刷包装机械有限公司</w:t>
            </w:r>
          </w:p>
        </w:tc>
        <w:tc>
          <w:tcPr>
            <w:tcW w:w="986"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高新区</w:t>
            </w:r>
          </w:p>
          <w:p>
            <w:pPr>
              <w:widowControl/>
              <w:jc w:val="cente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经发局</w:t>
            </w:r>
          </w:p>
        </w:tc>
        <w:tc>
          <w:tcPr>
            <w:tcW w:w="1140"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2015年度市科技奖</w:t>
            </w:r>
          </w:p>
        </w:tc>
      </w:tr>
      <w:tr>
        <w:tblPrEx>
          <w:tblLayout w:type="fixed"/>
          <w:tblCellMar>
            <w:top w:w="0" w:type="dxa"/>
            <w:left w:w="108" w:type="dxa"/>
            <w:bottom w:w="0" w:type="dxa"/>
            <w:right w:w="108" w:type="dxa"/>
          </w:tblCellMar>
        </w:tblPrEx>
        <w:trPr>
          <w:trHeight w:val="612"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28</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医学影像量化诊断系统研究与应用</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陕西渭南神州德信医学成像技术有限公司</w:t>
            </w:r>
          </w:p>
        </w:tc>
        <w:tc>
          <w:tcPr>
            <w:tcW w:w="986"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高新区</w:t>
            </w:r>
          </w:p>
          <w:p>
            <w:pPr>
              <w:widowControl/>
              <w:jc w:val="cente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经发局</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2015年度市科技奖</w:t>
            </w:r>
          </w:p>
        </w:tc>
      </w:tr>
      <w:tr>
        <w:tblPrEx>
          <w:tblLayout w:type="fixed"/>
          <w:tblCellMar>
            <w:top w:w="0" w:type="dxa"/>
            <w:left w:w="108" w:type="dxa"/>
            <w:bottom w:w="0" w:type="dxa"/>
            <w:right w:w="108" w:type="dxa"/>
          </w:tblCellMar>
        </w:tblPrEx>
        <w:trPr>
          <w:trHeight w:val="712"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29</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白水县苹果配方肥技术研发与推广</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白水县农业技术推广中心</w:t>
            </w:r>
          </w:p>
        </w:tc>
        <w:tc>
          <w:tcPr>
            <w:tcW w:w="986" w:type="dxa"/>
            <w:tcBorders>
              <w:top w:val="single" w:color="auto" w:sz="4" w:space="0"/>
              <w:left w:val="nil"/>
              <w:bottom w:val="single" w:color="auto" w:sz="4" w:space="0"/>
              <w:right w:val="single" w:color="auto" w:sz="4" w:space="0"/>
            </w:tcBorders>
            <w:vAlign w:val="center"/>
          </w:tcPr>
          <w:p>
            <w:pPr>
              <w:spacing w:line="0" w:lineRule="atLeast"/>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白水县</w:t>
            </w:r>
          </w:p>
          <w:p>
            <w:pPr>
              <w:spacing w:line="0" w:lineRule="atLeast"/>
              <w:jc w:val="cente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科技局</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2015年度市科技奖</w:t>
            </w:r>
          </w:p>
        </w:tc>
      </w:tr>
      <w:tr>
        <w:tblPrEx>
          <w:tblLayout w:type="fixed"/>
          <w:tblCellMar>
            <w:top w:w="0" w:type="dxa"/>
            <w:left w:w="108" w:type="dxa"/>
            <w:bottom w:w="0" w:type="dxa"/>
            <w:right w:w="108" w:type="dxa"/>
          </w:tblCellMar>
        </w:tblPrEx>
        <w:trPr>
          <w:trHeight w:val="696"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30</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柿醋液态酿造关键技术与示范</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富平县科农果业专业合作社</w:t>
            </w:r>
          </w:p>
          <w:p>
            <w:pPr>
              <w:widowControl/>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陕西科技大学</w:t>
            </w:r>
          </w:p>
        </w:tc>
        <w:tc>
          <w:tcPr>
            <w:tcW w:w="986" w:type="dxa"/>
            <w:tcBorders>
              <w:top w:val="single" w:color="auto" w:sz="4" w:space="0"/>
              <w:left w:val="nil"/>
              <w:bottom w:val="single" w:color="auto" w:sz="4" w:space="0"/>
              <w:right w:val="single" w:color="auto" w:sz="4" w:space="0"/>
            </w:tcBorders>
            <w:vAlign w:val="center"/>
          </w:tcPr>
          <w:p>
            <w:pPr>
              <w:spacing w:line="0" w:lineRule="atLeast"/>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富平县</w:t>
            </w:r>
          </w:p>
          <w:p>
            <w:pPr>
              <w:spacing w:line="0" w:lineRule="atLeast"/>
              <w:jc w:val="cente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科技局</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2015年度市科技奖</w:t>
            </w:r>
          </w:p>
        </w:tc>
      </w:tr>
      <w:tr>
        <w:tblPrEx>
          <w:tblLayout w:type="fixed"/>
          <w:tblCellMar>
            <w:top w:w="0" w:type="dxa"/>
            <w:left w:w="108" w:type="dxa"/>
            <w:bottom w:w="0" w:type="dxa"/>
            <w:right w:w="108" w:type="dxa"/>
          </w:tblCellMar>
        </w:tblPrEx>
        <w:trPr>
          <w:trHeight w:val="640"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31</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利用地沟油生产环保节约型农药科研成果推广应用</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陕西省蒲城美尔果农化有限责任公司</w:t>
            </w:r>
          </w:p>
        </w:tc>
        <w:tc>
          <w:tcPr>
            <w:tcW w:w="986" w:type="dxa"/>
            <w:tcBorders>
              <w:top w:val="single" w:color="auto" w:sz="4" w:space="0"/>
              <w:left w:val="nil"/>
              <w:bottom w:val="single" w:color="auto" w:sz="4" w:space="0"/>
              <w:right w:val="single" w:color="auto" w:sz="4" w:space="0"/>
            </w:tcBorders>
            <w:vAlign w:val="center"/>
          </w:tcPr>
          <w:p>
            <w:pPr>
              <w:spacing w:line="0" w:lineRule="atLeast"/>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蒲城县</w:t>
            </w:r>
          </w:p>
          <w:p>
            <w:pPr>
              <w:spacing w:line="0" w:lineRule="atLeast"/>
              <w:jc w:val="cente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科技局</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2015年度市科技奖</w:t>
            </w:r>
          </w:p>
        </w:tc>
      </w:tr>
      <w:tr>
        <w:tblPrEx>
          <w:tblLayout w:type="fixed"/>
          <w:tblCellMar>
            <w:top w:w="0" w:type="dxa"/>
            <w:left w:w="108" w:type="dxa"/>
            <w:bottom w:w="0" w:type="dxa"/>
            <w:right w:w="108" w:type="dxa"/>
          </w:tblCellMar>
        </w:tblPrEx>
        <w:trPr>
          <w:trHeight w:val="903"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32</w:t>
            </w:r>
          </w:p>
        </w:tc>
        <w:tc>
          <w:tcPr>
            <w:tcW w:w="270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left"/>
              <w:textAlignment w:val="auto"/>
              <w:outlineLvl w:val="9"/>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伊拉肉兔配套系引进繁育及其优质高效生产关键技术研究与产业化</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陕西同腾生物科技有限公司</w:t>
            </w:r>
          </w:p>
          <w:p>
            <w:pPr>
              <w:widowControl/>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西北农林科技大学</w:t>
            </w:r>
          </w:p>
        </w:tc>
        <w:tc>
          <w:tcPr>
            <w:tcW w:w="986" w:type="dxa"/>
            <w:tcBorders>
              <w:top w:val="single" w:color="auto" w:sz="4" w:space="0"/>
              <w:left w:val="nil"/>
              <w:bottom w:val="single" w:color="auto" w:sz="4" w:space="0"/>
              <w:right w:val="single" w:color="auto" w:sz="4" w:space="0"/>
            </w:tcBorders>
            <w:vAlign w:val="center"/>
          </w:tcPr>
          <w:p>
            <w:pPr>
              <w:spacing w:line="0" w:lineRule="atLeast"/>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澄城县</w:t>
            </w:r>
          </w:p>
          <w:p>
            <w:pPr>
              <w:spacing w:line="0" w:lineRule="atLeast"/>
              <w:jc w:val="cente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科技局</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2015年度市科技奖</w:t>
            </w:r>
          </w:p>
        </w:tc>
      </w:tr>
      <w:tr>
        <w:tblPrEx>
          <w:tblLayout w:type="fixed"/>
          <w:tblCellMar>
            <w:top w:w="0" w:type="dxa"/>
            <w:left w:w="108" w:type="dxa"/>
            <w:bottom w:w="0" w:type="dxa"/>
            <w:right w:w="108" w:type="dxa"/>
          </w:tblCellMar>
        </w:tblPrEx>
        <w:trPr>
          <w:trHeight w:val="690"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33</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渭北黄土高原沟壑区困难立地造林技术研究与示范</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渭南市林业工作站</w:t>
            </w:r>
          </w:p>
        </w:tc>
        <w:tc>
          <w:tcPr>
            <w:tcW w:w="986"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渭南市</w:t>
            </w:r>
          </w:p>
          <w:p>
            <w:pPr>
              <w:widowControl/>
              <w:jc w:val="cente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林业局</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2015年度市科技奖</w:t>
            </w:r>
          </w:p>
        </w:tc>
      </w:tr>
      <w:tr>
        <w:tblPrEx>
          <w:tblLayout w:type="fixed"/>
          <w:tblCellMar>
            <w:top w:w="0" w:type="dxa"/>
            <w:left w:w="108" w:type="dxa"/>
            <w:bottom w:w="0" w:type="dxa"/>
            <w:right w:w="108" w:type="dxa"/>
          </w:tblCellMar>
        </w:tblPrEx>
        <w:trPr>
          <w:trHeight w:val="661"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34</w:t>
            </w:r>
          </w:p>
        </w:tc>
        <w:tc>
          <w:tcPr>
            <w:tcW w:w="2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高分辨率频谱域光学相干层析成像检测技术研究</w:t>
            </w:r>
          </w:p>
        </w:tc>
        <w:tc>
          <w:tcPr>
            <w:tcW w:w="36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渭南师范学院</w:t>
            </w:r>
          </w:p>
        </w:tc>
        <w:tc>
          <w:tcPr>
            <w:tcW w:w="986"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渭南师</w:t>
            </w:r>
          </w:p>
          <w:p>
            <w:pPr>
              <w:widowControl/>
              <w:jc w:val="cente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范学院</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2015年度市科技奖</w:t>
            </w:r>
          </w:p>
        </w:tc>
      </w:tr>
      <w:tr>
        <w:tblPrEx>
          <w:tblLayout w:type="fixed"/>
          <w:tblCellMar>
            <w:top w:w="0" w:type="dxa"/>
            <w:left w:w="108" w:type="dxa"/>
            <w:bottom w:w="0" w:type="dxa"/>
            <w:right w:w="108" w:type="dxa"/>
          </w:tblCellMar>
        </w:tblPrEx>
        <w:trPr>
          <w:trHeight w:val="584"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35</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光伏镀膜玻璃技术的研发及产业化</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陕西拓日新能源科技有限公司</w:t>
            </w:r>
          </w:p>
        </w:tc>
        <w:tc>
          <w:tcPr>
            <w:tcW w:w="986"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澄城县</w:t>
            </w:r>
          </w:p>
          <w:p>
            <w:pPr>
              <w:widowControl/>
              <w:jc w:val="cente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科技局</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2015年度市科技奖</w:t>
            </w:r>
          </w:p>
        </w:tc>
      </w:tr>
      <w:tr>
        <w:tblPrEx>
          <w:tblLayout w:type="fixed"/>
          <w:tblCellMar>
            <w:top w:w="0" w:type="dxa"/>
            <w:left w:w="108" w:type="dxa"/>
            <w:bottom w:w="0" w:type="dxa"/>
            <w:right w:w="108" w:type="dxa"/>
          </w:tblCellMar>
        </w:tblPrEx>
        <w:trPr>
          <w:trHeight w:val="612"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36</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智能水位测量终端</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陕西沃泰科技股份有限公司</w:t>
            </w:r>
          </w:p>
        </w:tc>
        <w:tc>
          <w:tcPr>
            <w:tcW w:w="986"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高新区</w:t>
            </w:r>
          </w:p>
          <w:p>
            <w:pPr>
              <w:widowControl/>
              <w:jc w:val="cente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经发局</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2015年度市科技奖</w:t>
            </w:r>
          </w:p>
        </w:tc>
      </w:tr>
      <w:tr>
        <w:tblPrEx>
          <w:tblLayout w:type="fixed"/>
          <w:tblCellMar>
            <w:top w:w="0" w:type="dxa"/>
            <w:left w:w="108" w:type="dxa"/>
            <w:bottom w:w="0" w:type="dxa"/>
            <w:right w:w="108" w:type="dxa"/>
          </w:tblCellMar>
        </w:tblPrEx>
        <w:trPr>
          <w:trHeight w:val="745"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37</w:t>
            </w:r>
          </w:p>
        </w:tc>
        <w:tc>
          <w:tcPr>
            <w:tcW w:w="2709" w:type="dxa"/>
            <w:tcBorders>
              <w:top w:val="single" w:color="auto" w:sz="4" w:space="0"/>
              <w:left w:val="nil"/>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自走式青饲料收获机</w:t>
            </w:r>
          </w:p>
        </w:tc>
        <w:tc>
          <w:tcPr>
            <w:tcW w:w="362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渭南市利农牧草机械有限责任公司</w:t>
            </w:r>
          </w:p>
        </w:tc>
        <w:tc>
          <w:tcPr>
            <w:tcW w:w="986"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经开区</w:t>
            </w:r>
          </w:p>
          <w:p>
            <w:pPr>
              <w:widowControl/>
              <w:jc w:val="cente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经发局</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2015年度市科技奖</w:t>
            </w:r>
          </w:p>
        </w:tc>
      </w:tr>
      <w:tr>
        <w:tblPrEx>
          <w:tblLayout w:type="fixed"/>
          <w:tblCellMar>
            <w:top w:w="0" w:type="dxa"/>
            <w:left w:w="108" w:type="dxa"/>
            <w:bottom w:w="0" w:type="dxa"/>
            <w:right w:w="108" w:type="dxa"/>
          </w:tblCellMar>
        </w:tblPrEx>
        <w:trPr>
          <w:trHeight w:val="852"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38</w:t>
            </w:r>
          </w:p>
        </w:tc>
        <w:tc>
          <w:tcPr>
            <w:tcW w:w="2709" w:type="dxa"/>
            <w:tcBorders>
              <w:top w:val="single" w:color="auto" w:sz="4" w:space="0"/>
              <w:left w:val="nil"/>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低功耗低噪音齿轮式FQW25-35/CK矿用风动潜水泵的研制</w:t>
            </w:r>
          </w:p>
        </w:tc>
        <w:tc>
          <w:tcPr>
            <w:tcW w:w="362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陕西合阳风动工具有限责任公司</w:t>
            </w:r>
          </w:p>
        </w:tc>
        <w:tc>
          <w:tcPr>
            <w:tcW w:w="986"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合阳县</w:t>
            </w:r>
          </w:p>
          <w:p>
            <w:pPr>
              <w:widowControl/>
              <w:jc w:val="cente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科技局</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2014年度市科技奖</w:t>
            </w:r>
          </w:p>
        </w:tc>
      </w:tr>
      <w:tr>
        <w:tblPrEx>
          <w:tblLayout w:type="fixed"/>
          <w:tblCellMar>
            <w:top w:w="0" w:type="dxa"/>
            <w:left w:w="108" w:type="dxa"/>
            <w:bottom w:w="0" w:type="dxa"/>
            <w:right w:w="108" w:type="dxa"/>
          </w:tblCellMar>
        </w:tblPrEx>
        <w:trPr>
          <w:trHeight w:val="692"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39</w:t>
            </w:r>
          </w:p>
        </w:tc>
        <w:tc>
          <w:tcPr>
            <w:tcW w:w="2709" w:type="dxa"/>
            <w:tcBorders>
              <w:top w:val="single" w:color="auto" w:sz="4" w:space="0"/>
              <w:left w:val="nil"/>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苹果旱作栽培技术集成示范与推广</w:t>
            </w:r>
          </w:p>
        </w:tc>
        <w:tc>
          <w:tcPr>
            <w:tcW w:w="362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白水县园艺站</w:t>
            </w:r>
          </w:p>
          <w:p>
            <w:pPr>
              <w:spacing w:line="0" w:lineRule="atLeast"/>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西北农林科技大学苹果研究中心</w:t>
            </w:r>
          </w:p>
        </w:tc>
        <w:tc>
          <w:tcPr>
            <w:tcW w:w="986"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白水县</w:t>
            </w:r>
          </w:p>
          <w:p>
            <w:pPr>
              <w:widowControl/>
              <w:jc w:val="cente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科技局</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2014年度市科技奖</w:t>
            </w:r>
          </w:p>
        </w:tc>
      </w:tr>
      <w:tr>
        <w:tblPrEx>
          <w:tblLayout w:type="fixed"/>
          <w:tblCellMar>
            <w:top w:w="0" w:type="dxa"/>
            <w:left w:w="108" w:type="dxa"/>
            <w:bottom w:w="0" w:type="dxa"/>
            <w:right w:w="108" w:type="dxa"/>
          </w:tblCellMar>
        </w:tblPrEx>
        <w:trPr>
          <w:trHeight w:val="90"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40</w:t>
            </w:r>
          </w:p>
        </w:tc>
        <w:tc>
          <w:tcPr>
            <w:tcW w:w="2709" w:type="dxa"/>
            <w:tcBorders>
              <w:top w:val="single" w:color="auto" w:sz="4" w:space="0"/>
              <w:left w:val="nil"/>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柿饼无硫加工新技术研究与应用示范</w:t>
            </w:r>
          </w:p>
        </w:tc>
        <w:tc>
          <w:tcPr>
            <w:tcW w:w="362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富平县洋阳柿饼专业合作社</w:t>
            </w:r>
          </w:p>
        </w:tc>
        <w:tc>
          <w:tcPr>
            <w:tcW w:w="986"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富平县</w:t>
            </w:r>
          </w:p>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科技局</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2014年度市科技奖</w:t>
            </w:r>
          </w:p>
        </w:tc>
      </w:tr>
      <w:tr>
        <w:tblPrEx>
          <w:tblLayout w:type="fixed"/>
          <w:tblCellMar>
            <w:top w:w="0" w:type="dxa"/>
            <w:left w:w="108" w:type="dxa"/>
            <w:bottom w:w="0" w:type="dxa"/>
            <w:right w:w="108" w:type="dxa"/>
          </w:tblCellMar>
        </w:tblPrEx>
        <w:trPr>
          <w:trHeight w:val="630"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41</w:t>
            </w:r>
          </w:p>
        </w:tc>
        <w:tc>
          <w:tcPr>
            <w:tcW w:w="2709" w:type="dxa"/>
            <w:tcBorders>
              <w:top w:val="single" w:color="auto" w:sz="4" w:space="0"/>
              <w:left w:val="nil"/>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鸡白痢净化关键技术的研究和应用</w:t>
            </w:r>
          </w:p>
        </w:tc>
        <w:tc>
          <w:tcPr>
            <w:tcW w:w="362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临渭区动物疫病预防控制中心</w:t>
            </w:r>
          </w:p>
        </w:tc>
        <w:tc>
          <w:tcPr>
            <w:tcW w:w="986"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临渭区</w:t>
            </w:r>
          </w:p>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科技局</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2014年度市科技奖</w:t>
            </w:r>
          </w:p>
        </w:tc>
      </w:tr>
      <w:tr>
        <w:tblPrEx>
          <w:tblLayout w:type="fixed"/>
          <w:tblCellMar>
            <w:top w:w="0" w:type="dxa"/>
            <w:left w:w="108" w:type="dxa"/>
            <w:bottom w:w="0" w:type="dxa"/>
            <w:right w:w="108" w:type="dxa"/>
          </w:tblCellMar>
        </w:tblPrEx>
        <w:trPr>
          <w:trHeight w:val="839"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42</w:t>
            </w:r>
          </w:p>
        </w:tc>
        <w:tc>
          <w:tcPr>
            <w:tcW w:w="2709" w:type="dxa"/>
            <w:tcBorders>
              <w:top w:val="single" w:color="auto" w:sz="4" w:space="0"/>
              <w:left w:val="nil"/>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一种合成722克/升霜霉威盐酸盐的新方法</w:t>
            </w:r>
          </w:p>
        </w:tc>
        <w:tc>
          <w:tcPr>
            <w:tcW w:w="362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陕西恒田化工有限公司</w:t>
            </w:r>
          </w:p>
        </w:tc>
        <w:tc>
          <w:tcPr>
            <w:tcW w:w="986"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大荔县</w:t>
            </w:r>
          </w:p>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科技局</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2014年度市科技奖</w:t>
            </w:r>
          </w:p>
        </w:tc>
      </w:tr>
      <w:tr>
        <w:tblPrEx>
          <w:tblLayout w:type="fixed"/>
          <w:tblCellMar>
            <w:top w:w="0" w:type="dxa"/>
            <w:left w:w="108" w:type="dxa"/>
            <w:bottom w:w="0" w:type="dxa"/>
            <w:right w:w="108" w:type="dxa"/>
          </w:tblCellMar>
        </w:tblPrEx>
        <w:trPr>
          <w:trHeight w:val="896"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43</w:t>
            </w:r>
          </w:p>
        </w:tc>
        <w:tc>
          <w:tcPr>
            <w:tcW w:w="2709" w:type="dxa"/>
            <w:tcBorders>
              <w:top w:val="single" w:color="auto" w:sz="4" w:space="0"/>
              <w:left w:val="nil"/>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白水县苹果树病虫绿色防控技术集成与推广</w:t>
            </w:r>
          </w:p>
        </w:tc>
        <w:tc>
          <w:tcPr>
            <w:tcW w:w="362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白水县农业技术推广中心</w:t>
            </w:r>
          </w:p>
        </w:tc>
        <w:tc>
          <w:tcPr>
            <w:tcW w:w="986"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白水县</w:t>
            </w:r>
          </w:p>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科技局</w:t>
            </w:r>
          </w:p>
        </w:tc>
        <w:tc>
          <w:tcPr>
            <w:tcW w:w="1140"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2014年度市科技奖</w:t>
            </w:r>
          </w:p>
        </w:tc>
      </w:tr>
      <w:tr>
        <w:tblPrEx>
          <w:tblLayout w:type="fixed"/>
          <w:tblCellMar>
            <w:top w:w="0" w:type="dxa"/>
            <w:left w:w="108" w:type="dxa"/>
            <w:bottom w:w="0" w:type="dxa"/>
            <w:right w:w="108" w:type="dxa"/>
          </w:tblCellMar>
        </w:tblPrEx>
        <w:trPr>
          <w:trHeight w:val="820"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44</w:t>
            </w:r>
          </w:p>
        </w:tc>
        <w:tc>
          <w:tcPr>
            <w:tcW w:w="2709"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一种油脂碱炼工艺及其设备</w:t>
            </w:r>
          </w:p>
        </w:tc>
        <w:tc>
          <w:tcPr>
            <w:tcW w:w="362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大荔伟恒生物科技有限公司</w:t>
            </w:r>
          </w:p>
        </w:tc>
        <w:tc>
          <w:tcPr>
            <w:tcW w:w="98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大荔县</w:t>
            </w:r>
          </w:p>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科技局</w:t>
            </w:r>
          </w:p>
        </w:tc>
        <w:tc>
          <w:tcPr>
            <w:tcW w:w="114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2014年度市科技奖</w:t>
            </w:r>
          </w:p>
        </w:tc>
      </w:tr>
      <w:tr>
        <w:tblPrEx>
          <w:tblLayout w:type="fixed"/>
          <w:tblCellMar>
            <w:top w:w="0" w:type="dxa"/>
            <w:left w:w="108" w:type="dxa"/>
            <w:bottom w:w="0" w:type="dxa"/>
            <w:right w:w="108" w:type="dxa"/>
          </w:tblCellMar>
        </w:tblPrEx>
        <w:trPr>
          <w:trHeight w:val="753"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45</w:t>
            </w:r>
          </w:p>
        </w:tc>
        <w:tc>
          <w:tcPr>
            <w:tcW w:w="2709"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40%烯酰吗啉-嘧菌酯SC产品开发及产业化</w:t>
            </w:r>
          </w:p>
        </w:tc>
        <w:tc>
          <w:tcPr>
            <w:tcW w:w="362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陕西标正作物科学有限公司</w:t>
            </w:r>
          </w:p>
        </w:tc>
        <w:tc>
          <w:tcPr>
            <w:tcW w:w="98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高新区</w:t>
            </w:r>
          </w:p>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经发局</w:t>
            </w:r>
          </w:p>
        </w:tc>
        <w:tc>
          <w:tcPr>
            <w:tcW w:w="114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2014年度市科技奖</w:t>
            </w:r>
          </w:p>
        </w:tc>
      </w:tr>
      <w:tr>
        <w:tblPrEx>
          <w:tblLayout w:type="fixed"/>
          <w:tblCellMar>
            <w:top w:w="0" w:type="dxa"/>
            <w:left w:w="108" w:type="dxa"/>
            <w:bottom w:w="0" w:type="dxa"/>
            <w:right w:w="108" w:type="dxa"/>
          </w:tblCellMar>
        </w:tblPrEx>
        <w:trPr>
          <w:trHeight w:val="494"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b w:val="0"/>
                <w:bCs/>
                <w:i w:val="0"/>
                <w:strike w:val="0"/>
                <w:dstrike w:val="0"/>
                <w:color w:val="000000" w:themeColor="text1"/>
                <w:kern w:val="0"/>
                <w:sz w:val="24"/>
                <w:szCs w:val="24"/>
                <w:u w:val="none"/>
                <w:lang w:val="en-US" w:eastAsia="zh-CN" w:bidi="ar"/>
                <w14:textFill>
                  <w14:solidFill>
                    <w14:schemeClr w14:val="tx1"/>
                  </w14:solidFill>
                </w14:textFill>
              </w:rPr>
              <w:t>46</w:t>
            </w:r>
          </w:p>
        </w:tc>
        <w:tc>
          <w:tcPr>
            <w:tcW w:w="2709"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YP5型手持式凿岩机的研制</w:t>
            </w:r>
          </w:p>
        </w:tc>
        <w:tc>
          <w:tcPr>
            <w:tcW w:w="3623" w:type="dxa"/>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陕西合阳风动工具有限</w:t>
            </w:r>
          </w:p>
          <w:p>
            <w:pPr>
              <w:spacing w:line="0" w:lineRule="atLeast"/>
              <w:jc w:val="left"/>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14:textFill>
                  <w14:solidFill>
                    <w14:schemeClr w14:val="tx1"/>
                  </w14:solidFill>
                </w14:textFill>
              </w:rPr>
              <w:t>责任公司</w:t>
            </w:r>
          </w:p>
        </w:tc>
        <w:tc>
          <w:tcPr>
            <w:tcW w:w="98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合阳县</w:t>
            </w:r>
          </w:p>
          <w:p>
            <w:pPr>
              <w:widowControl/>
              <w:jc w:val="cente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eastAsia="zh-CN"/>
                <w14:textFill>
                  <w14:solidFill>
                    <w14:schemeClr w14:val="tx1"/>
                  </w14:solidFill>
                </w14:textFill>
              </w:rPr>
              <w:t>科技局</w:t>
            </w:r>
          </w:p>
        </w:tc>
        <w:tc>
          <w:tcPr>
            <w:tcW w:w="114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hint="eastAsia" w:ascii="仿宋_GB2312" w:hAnsi="仿宋_GB2312" w:eastAsia="仿宋_GB2312" w:cs="仿宋_GB2312"/>
                <w:b w:val="0"/>
                <w:bCs/>
                <w:strike w:val="0"/>
                <w:dstrike w:val="0"/>
                <w:color w:val="000000" w:themeColor="text1"/>
                <w:kern w:val="0"/>
                <w:sz w:val="21"/>
                <w:szCs w:val="21"/>
                <w14:textFill>
                  <w14:solidFill>
                    <w14:schemeClr w14:val="tx1"/>
                  </w14:solidFill>
                </w14:textFill>
              </w:rPr>
            </w:pPr>
            <w:r>
              <w:rPr>
                <w:rFonts w:hint="eastAsia" w:ascii="仿宋_GB2312" w:hAnsi="仿宋_GB2312" w:eastAsia="仿宋_GB2312" w:cs="仿宋_GB2312"/>
                <w:b w:val="0"/>
                <w:bCs/>
                <w:strike w:val="0"/>
                <w:dstrike w:val="0"/>
                <w:color w:val="000000" w:themeColor="text1"/>
                <w:sz w:val="21"/>
                <w:szCs w:val="21"/>
                <w:lang w:val="en-US" w:eastAsia="zh-CN"/>
                <w14:textFill>
                  <w14:solidFill>
                    <w14:schemeClr w14:val="tx1"/>
                  </w14:solidFill>
                </w14:textFill>
              </w:rPr>
              <w:t>2014年度市科技奖</w:t>
            </w:r>
          </w:p>
        </w:tc>
      </w:tr>
    </w:tbl>
    <w:p>
      <w:pPr>
        <w:pStyle w:val="2"/>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附件3：</w:t>
      </w:r>
    </w:p>
    <w:p>
      <w:pPr>
        <w:pStyle w:val="2"/>
        <w:ind w:left="0" w:leftChars="0" w:firstLine="0" w:firstLineChars="0"/>
        <w:jc w:val="center"/>
        <w:rPr>
          <w:rFonts w:hint="eastAsia" w:ascii="宋体" w:hAnsi="宋体" w:eastAsia="宋体" w:cs="Times New Roman"/>
          <w:b/>
          <w:color w:val="000000" w:themeColor="text1"/>
          <w:kern w:val="2"/>
          <w:sz w:val="44"/>
          <w:szCs w:val="44"/>
          <w:lang w:val="en-US" w:eastAsia="zh-CN" w:bidi="ar-SA"/>
          <w14:textFill>
            <w14:solidFill>
              <w14:schemeClr w14:val="tx1"/>
            </w14:solidFill>
          </w14:textFill>
        </w:rPr>
      </w:pPr>
    </w:p>
    <w:p>
      <w:pPr>
        <w:pStyle w:val="2"/>
        <w:ind w:left="0" w:leftChars="0" w:firstLine="0" w:firstLineChars="0"/>
        <w:jc w:val="center"/>
        <w:rPr>
          <w:rFonts w:hint="eastAsia" w:ascii="宋体" w:hAnsi="宋体" w:eastAsia="宋体" w:cs="Times New Roman"/>
          <w:b/>
          <w:color w:val="000000" w:themeColor="text1"/>
          <w:kern w:val="2"/>
          <w:sz w:val="44"/>
          <w:szCs w:val="44"/>
          <w:lang w:val="en-US" w:eastAsia="zh-CN" w:bidi="ar-SA"/>
          <w14:textFill>
            <w14:solidFill>
              <w14:schemeClr w14:val="tx1"/>
            </w14:solidFill>
          </w14:textFill>
        </w:rPr>
      </w:pPr>
      <w:r>
        <w:rPr>
          <w:rFonts w:hint="eastAsia" w:ascii="宋体" w:hAnsi="宋体" w:eastAsia="宋体" w:cs="Times New Roman"/>
          <w:b/>
          <w:color w:val="000000" w:themeColor="text1"/>
          <w:kern w:val="2"/>
          <w:sz w:val="44"/>
          <w:szCs w:val="44"/>
          <w:lang w:val="en-US" w:eastAsia="zh-CN" w:bidi="ar-SA"/>
          <w14:textFill>
            <w14:solidFill>
              <w14:schemeClr w14:val="tx1"/>
            </w14:solidFill>
          </w14:textFill>
        </w:rPr>
        <w:t>各县市区科技主管部门提名指标建议表</w:t>
      </w:r>
    </w:p>
    <w:p>
      <w:pPr>
        <w:pStyle w:val="2"/>
        <w:rPr>
          <w:rFonts w:hint="eastAsia"/>
          <w:color w:val="000000" w:themeColor="text1"/>
          <w:lang w:val="en-US" w:eastAsia="zh-CN"/>
          <w14:textFill>
            <w14:solidFill>
              <w14:schemeClr w14:val="tx1"/>
            </w14:solidFill>
          </w14:textFill>
        </w:rPr>
      </w:pPr>
    </w:p>
    <w:tbl>
      <w:tblPr>
        <w:tblStyle w:val="12"/>
        <w:tblW w:w="83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2229"/>
        <w:gridCol w:w="2758"/>
        <w:gridCol w:w="2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1148" w:type="dxa"/>
          </w:tcPr>
          <w:p>
            <w:pPr>
              <w:pStyle w:val="2"/>
              <w:ind w:left="0" w:leftChars="0" w:firstLine="0" w:firstLineChars="0"/>
              <w:jc w:val="center"/>
              <w:rPr>
                <w:rFonts w:hint="eastAsia" w:asciiTheme="majorEastAsia" w:hAnsiTheme="majorEastAsia" w:eastAsiaTheme="majorEastAsia" w:cstheme="majorEastAsia"/>
                <w:b/>
                <w:bCs/>
                <w:color w:val="000000" w:themeColor="text1"/>
                <w:vertAlign w:val="baseli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vertAlign w:val="baseline"/>
                <w:lang w:val="en-US" w:eastAsia="zh-CN"/>
                <w14:textFill>
                  <w14:solidFill>
                    <w14:schemeClr w14:val="tx1"/>
                  </w14:solidFill>
                </w14:textFill>
              </w:rPr>
              <w:t>序号</w:t>
            </w:r>
          </w:p>
        </w:tc>
        <w:tc>
          <w:tcPr>
            <w:tcW w:w="2229" w:type="dxa"/>
            <w:vAlign w:val="top"/>
          </w:tcPr>
          <w:p>
            <w:pPr>
              <w:pStyle w:val="2"/>
              <w:ind w:left="0" w:leftChars="0" w:firstLine="0" w:firstLineChars="0"/>
              <w:jc w:val="center"/>
              <w:rPr>
                <w:rFonts w:hint="eastAsia" w:asciiTheme="majorEastAsia" w:hAnsiTheme="majorEastAsia" w:eastAsiaTheme="majorEastAsia" w:cstheme="majorEastAsia"/>
                <w:b/>
                <w:bCs/>
                <w:color w:val="000000" w:themeColor="text1"/>
                <w:vertAlign w:val="baseli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vertAlign w:val="baseline"/>
                <w:lang w:val="en-US" w:eastAsia="zh-CN"/>
                <w14:textFill>
                  <w14:solidFill>
                    <w14:schemeClr w14:val="tx1"/>
                  </w14:solidFill>
                </w14:textFill>
              </w:rPr>
              <w:t>县市区</w:t>
            </w:r>
          </w:p>
        </w:tc>
        <w:tc>
          <w:tcPr>
            <w:tcW w:w="2758" w:type="dxa"/>
            <w:vAlign w:val="top"/>
          </w:tcPr>
          <w:p>
            <w:pPr>
              <w:pStyle w:val="2"/>
              <w:ind w:left="0" w:leftChars="0" w:firstLine="0" w:firstLineChars="0"/>
              <w:jc w:val="center"/>
              <w:rPr>
                <w:rFonts w:hint="eastAsia" w:asciiTheme="majorEastAsia" w:hAnsiTheme="majorEastAsia" w:eastAsiaTheme="majorEastAsia" w:cstheme="majorEastAsia"/>
                <w:b/>
                <w:bCs/>
                <w:color w:val="000000" w:themeColor="text1"/>
                <w:vertAlign w:val="baseli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vertAlign w:val="baseline"/>
                <w:lang w:val="en-US" w:eastAsia="zh-CN"/>
                <w14:textFill>
                  <w14:solidFill>
                    <w14:schemeClr w14:val="tx1"/>
                  </w14:solidFill>
                </w14:textFill>
              </w:rPr>
              <w:t>提名数量</w:t>
            </w:r>
          </w:p>
        </w:tc>
        <w:tc>
          <w:tcPr>
            <w:tcW w:w="2225" w:type="dxa"/>
            <w:vAlign w:val="top"/>
          </w:tcPr>
          <w:p>
            <w:pPr>
              <w:pStyle w:val="2"/>
              <w:ind w:firstLine="643" w:firstLineChars="200"/>
              <w:jc w:val="center"/>
              <w:rPr>
                <w:rFonts w:hint="eastAsia" w:asciiTheme="majorEastAsia" w:hAnsiTheme="majorEastAsia" w:eastAsiaTheme="majorEastAsia" w:cstheme="majorEastAsia"/>
                <w:b/>
                <w:bCs/>
                <w:color w:val="000000" w:themeColor="text1"/>
                <w:vertAlign w:val="baseli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vertAlign w:val="baseli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1148" w:type="dxa"/>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1</w:t>
            </w:r>
          </w:p>
        </w:tc>
        <w:tc>
          <w:tcPr>
            <w:tcW w:w="2229" w:type="dxa"/>
            <w:vAlign w:val="top"/>
          </w:tcPr>
          <w:p>
            <w:pPr>
              <w:pStyle w:val="2"/>
              <w:ind w:firstLine="640" w:firstLineChars="200"/>
              <w:jc w:val="both"/>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临渭区</w:t>
            </w:r>
          </w:p>
        </w:tc>
        <w:tc>
          <w:tcPr>
            <w:tcW w:w="2758" w:type="dxa"/>
            <w:vAlign w:val="top"/>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hAnsi="仿宋_GB2312" w:cs="仿宋_GB2312"/>
                <w:b w:val="0"/>
                <w:bCs w:val="0"/>
                <w:color w:val="000000" w:themeColor="text1"/>
                <w:vertAlign w:val="baseline"/>
                <w:lang w:val="en-US" w:eastAsia="zh-CN"/>
                <w14:textFill>
                  <w14:solidFill>
                    <w14:schemeClr w14:val="tx1"/>
                  </w14:solidFill>
                </w14:textFill>
              </w:rPr>
              <w:t>2</w:t>
            </w:r>
          </w:p>
        </w:tc>
        <w:tc>
          <w:tcPr>
            <w:tcW w:w="2225" w:type="dxa"/>
            <w:vAlign w:val="top"/>
          </w:tcPr>
          <w:p>
            <w:pPr>
              <w:pStyle w:val="2"/>
              <w:ind w:firstLine="640" w:firstLineChars="200"/>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1148" w:type="dxa"/>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2</w:t>
            </w:r>
          </w:p>
        </w:tc>
        <w:tc>
          <w:tcPr>
            <w:tcW w:w="2229" w:type="dxa"/>
            <w:vAlign w:val="top"/>
          </w:tcPr>
          <w:p>
            <w:pPr>
              <w:pStyle w:val="2"/>
              <w:ind w:firstLine="640" w:firstLineChars="200"/>
              <w:jc w:val="both"/>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华州区</w:t>
            </w:r>
          </w:p>
        </w:tc>
        <w:tc>
          <w:tcPr>
            <w:tcW w:w="2758" w:type="dxa"/>
            <w:vAlign w:val="top"/>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1</w:t>
            </w:r>
          </w:p>
        </w:tc>
        <w:tc>
          <w:tcPr>
            <w:tcW w:w="2225" w:type="dxa"/>
            <w:vAlign w:val="top"/>
          </w:tcPr>
          <w:p>
            <w:pPr>
              <w:pStyle w:val="2"/>
              <w:ind w:firstLine="640" w:firstLineChars="200"/>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1148" w:type="dxa"/>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3</w:t>
            </w:r>
          </w:p>
        </w:tc>
        <w:tc>
          <w:tcPr>
            <w:tcW w:w="2229" w:type="dxa"/>
            <w:vAlign w:val="top"/>
          </w:tcPr>
          <w:p>
            <w:pPr>
              <w:pStyle w:val="2"/>
              <w:ind w:firstLine="640" w:firstLineChars="200"/>
              <w:jc w:val="both"/>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华阴市</w:t>
            </w:r>
          </w:p>
        </w:tc>
        <w:tc>
          <w:tcPr>
            <w:tcW w:w="2758" w:type="dxa"/>
            <w:vAlign w:val="top"/>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1</w:t>
            </w:r>
          </w:p>
        </w:tc>
        <w:tc>
          <w:tcPr>
            <w:tcW w:w="2225" w:type="dxa"/>
            <w:vAlign w:val="top"/>
          </w:tcPr>
          <w:p>
            <w:pPr>
              <w:pStyle w:val="2"/>
              <w:ind w:firstLine="640" w:firstLineChars="200"/>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1148" w:type="dxa"/>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4</w:t>
            </w:r>
          </w:p>
        </w:tc>
        <w:tc>
          <w:tcPr>
            <w:tcW w:w="2229" w:type="dxa"/>
            <w:vAlign w:val="top"/>
          </w:tcPr>
          <w:p>
            <w:pPr>
              <w:pStyle w:val="2"/>
              <w:ind w:firstLine="640" w:firstLineChars="200"/>
              <w:jc w:val="both"/>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潼关县</w:t>
            </w:r>
          </w:p>
        </w:tc>
        <w:tc>
          <w:tcPr>
            <w:tcW w:w="2758" w:type="dxa"/>
            <w:vAlign w:val="top"/>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1</w:t>
            </w:r>
          </w:p>
        </w:tc>
        <w:tc>
          <w:tcPr>
            <w:tcW w:w="2225" w:type="dxa"/>
            <w:vAlign w:val="top"/>
          </w:tcPr>
          <w:p>
            <w:pPr>
              <w:pStyle w:val="2"/>
              <w:ind w:firstLine="640" w:firstLineChars="200"/>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1148" w:type="dxa"/>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5</w:t>
            </w:r>
          </w:p>
        </w:tc>
        <w:tc>
          <w:tcPr>
            <w:tcW w:w="2229" w:type="dxa"/>
            <w:vAlign w:val="top"/>
          </w:tcPr>
          <w:p>
            <w:pPr>
              <w:pStyle w:val="2"/>
              <w:ind w:firstLine="640" w:firstLineChars="200"/>
              <w:jc w:val="both"/>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白水县</w:t>
            </w:r>
          </w:p>
        </w:tc>
        <w:tc>
          <w:tcPr>
            <w:tcW w:w="2758" w:type="dxa"/>
            <w:vAlign w:val="top"/>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1</w:t>
            </w:r>
          </w:p>
        </w:tc>
        <w:tc>
          <w:tcPr>
            <w:tcW w:w="2225" w:type="dxa"/>
            <w:vAlign w:val="top"/>
          </w:tcPr>
          <w:p>
            <w:pPr>
              <w:pStyle w:val="2"/>
              <w:ind w:firstLine="640" w:firstLineChars="200"/>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1148" w:type="dxa"/>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6</w:t>
            </w:r>
          </w:p>
        </w:tc>
        <w:tc>
          <w:tcPr>
            <w:tcW w:w="2229" w:type="dxa"/>
            <w:vAlign w:val="top"/>
          </w:tcPr>
          <w:p>
            <w:pPr>
              <w:pStyle w:val="2"/>
              <w:ind w:firstLine="640" w:firstLineChars="200"/>
              <w:jc w:val="both"/>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合阳县</w:t>
            </w:r>
          </w:p>
        </w:tc>
        <w:tc>
          <w:tcPr>
            <w:tcW w:w="2758" w:type="dxa"/>
            <w:vAlign w:val="top"/>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1</w:t>
            </w:r>
          </w:p>
        </w:tc>
        <w:tc>
          <w:tcPr>
            <w:tcW w:w="2225" w:type="dxa"/>
            <w:vAlign w:val="top"/>
          </w:tcPr>
          <w:p>
            <w:pPr>
              <w:pStyle w:val="2"/>
              <w:ind w:firstLine="640" w:firstLineChars="200"/>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1148" w:type="dxa"/>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7</w:t>
            </w:r>
          </w:p>
        </w:tc>
        <w:tc>
          <w:tcPr>
            <w:tcW w:w="2229" w:type="dxa"/>
            <w:vAlign w:val="top"/>
          </w:tcPr>
          <w:p>
            <w:pPr>
              <w:pStyle w:val="2"/>
              <w:ind w:firstLine="640" w:firstLineChars="200"/>
              <w:jc w:val="both"/>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澄城县</w:t>
            </w:r>
          </w:p>
        </w:tc>
        <w:tc>
          <w:tcPr>
            <w:tcW w:w="2758" w:type="dxa"/>
            <w:vAlign w:val="top"/>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1</w:t>
            </w:r>
          </w:p>
        </w:tc>
        <w:tc>
          <w:tcPr>
            <w:tcW w:w="2225" w:type="dxa"/>
            <w:vAlign w:val="top"/>
          </w:tcPr>
          <w:p>
            <w:pPr>
              <w:pStyle w:val="2"/>
              <w:ind w:firstLine="640" w:firstLineChars="200"/>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1148" w:type="dxa"/>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8</w:t>
            </w:r>
          </w:p>
        </w:tc>
        <w:tc>
          <w:tcPr>
            <w:tcW w:w="2229" w:type="dxa"/>
            <w:vAlign w:val="top"/>
          </w:tcPr>
          <w:p>
            <w:pPr>
              <w:pStyle w:val="2"/>
              <w:ind w:firstLine="640" w:firstLineChars="200"/>
              <w:jc w:val="both"/>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大荔县</w:t>
            </w:r>
          </w:p>
        </w:tc>
        <w:tc>
          <w:tcPr>
            <w:tcW w:w="2758" w:type="dxa"/>
            <w:vAlign w:val="top"/>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hAnsi="仿宋_GB2312" w:cs="仿宋_GB2312"/>
                <w:b w:val="0"/>
                <w:bCs w:val="0"/>
                <w:color w:val="000000" w:themeColor="text1"/>
                <w:vertAlign w:val="baseline"/>
                <w:lang w:val="en-US" w:eastAsia="zh-CN"/>
                <w14:textFill>
                  <w14:solidFill>
                    <w14:schemeClr w14:val="tx1"/>
                  </w14:solidFill>
                </w14:textFill>
              </w:rPr>
              <w:t>2</w:t>
            </w:r>
          </w:p>
        </w:tc>
        <w:tc>
          <w:tcPr>
            <w:tcW w:w="2225" w:type="dxa"/>
            <w:vAlign w:val="top"/>
          </w:tcPr>
          <w:p>
            <w:pPr>
              <w:pStyle w:val="2"/>
              <w:ind w:firstLine="640" w:firstLineChars="200"/>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1148" w:type="dxa"/>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9</w:t>
            </w:r>
          </w:p>
        </w:tc>
        <w:tc>
          <w:tcPr>
            <w:tcW w:w="2229" w:type="dxa"/>
            <w:vAlign w:val="top"/>
          </w:tcPr>
          <w:p>
            <w:pPr>
              <w:pStyle w:val="2"/>
              <w:ind w:firstLine="640" w:firstLineChars="200"/>
              <w:jc w:val="both"/>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蒲城县</w:t>
            </w:r>
          </w:p>
        </w:tc>
        <w:tc>
          <w:tcPr>
            <w:tcW w:w="2758" w:type="dxa"/>
            <w:vAlign w:val="top"/>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hAnsi="仿宋_GB2312" w:cs="仿宋_GB2312"/>
                <w:b w:val="0"/>
                <w:bCs w:val="0"/>
                <w:color w:val="000000" w:themeColor="text1"/>
                <w:vertAlign w:val="baseline"/>
                <w:lang w:val="en-US" w:eastAsia="zh-CN"/>
                <w14:textFill>
                  <w14:solidFill>
                    <w14:schemeClr w14:val="tx1"/>
                  </w14:solidFill>
                </w14:textFill>
              </w:rPr>
              <w:t>2</w:t>
            </w:r>
          </w:p>
        </w:tc>
        <w:tc>
          <w:tcPr>
            <w:tcW w:w="2225" w:type="dxa"/>
            <w:vAlign w:val="top"/>
          </w:tcPr>
          <w:p>
            <w:pPr>
              <w:pStyle w:val="2"/>
              <w:ind w:firstLine="640" w:firstLineChars="200"/>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1148" w:type="dxa"/>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10</w:t>
            </w:r>
          </w:p>
        </w:tc>
        <w:tc>
          <w:tcPr>
            <w:tcW w:w="2229" w:type="dxa"/>
            <w:vAlign w:val="top"/>
          </w:tcPr>
          <w:p>
            <w:pPr>
              <w:pStyle w:val="2"/>
              <w:ind w:firstLine="640" w:firstLineChars="200"/>
              <w:jc w:val="both"/>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富平县</w:t>
            </w:r>
          </w:p>
        </w:tc>
        <w:tc>
          <w:tcPr>
            <w:tcW w:w="2758" w:type="dxa"/>
            <w:vAlign w:val="top"/>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hAnsi="仿宋_GB2312" w:cs="仿宋_GB2312"/>
                <w:b w:val="0"/>
                <w:bCs w:val="0"/>
                <w:color w:val="000000" w:themeColor="text1"/>
                <w:vertAlign w:val="baseline"/>
                <w:lang w:val="en-US" w:eastAsia="zh-CN"/>
                <w14:textFill>
                  <w14:solidFill>
                    <w14:schemeClr w14:val="tx1"/>
                  </w14:solidFill>
                </w14:textFill>
              </w:rPr>
              <w:t>2</w:t>
            </w:r>
          </w:p>
        </w:tc>
        <w:tc>
          <w:tcPr>
            <w:tcW w:w="2225" w:type="dxa"/>
            <w:vAlign w:val="top"/>
          </w:tcPr>
          <w:p>
            <w:pPr>
              <w:pStyle w:val="2"/>
              <w:ind w:firstLine="640" w:firstLineChars="200"/>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1148" w:type="dxa"/>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11</w:t>
            </w:r>
          </w:p>
        </w:tc>
        <w:tc>
          <w:tcPr>
            <w:tcW w:w="2229" w:type="dxa"/>
            <w:vAlign w:val="top"/>
          </w:tcPr>
          <w:p>
            <w:pPr>
              <w:pStyle w:val="2"/>
              <w:ind w:firstLine="640" w:firstLineChars="200"/>
              <w:jc w:val="both"/>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高新区</w:t>
            </w:r>
          </w:p>
        </w:tc>
        <w:tc>
          <w:tcPr>
            <w:tcW w:w="2758" w:type="dxa"/>
            <w:vAlign w:val="top"/>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hAnsi="仿宋_GB2312" w:cs="仿宋_GB2312"/>
                <w:b w:val="0"/>
                <w:bCs w:val="0"/>
                <w:color w:val="000000" w:themeColor="text1"/>
                <w:vertAlign w:val="baseline"/>
                <w:lang w:val="en-US" w:eastAsia="zh-CN"/>
                <w14:textFill>
                  <w14:solidFill>
                    <w14:schemeClr w14:val="tx1"/>
                  </w14:solidFill>
                </w14:textFill>
              </w:rPr>
              <w:t>3</w:t>
            </w:r>
          </w:p>
        </w:tc>
        <w:tc>
          <w:tcPr>
            <w:tcW w:w="2225" w:type="dxa"/>
            <w:vAlign w:val="top"/>
          </w:tcPr>
          <w:p>
            <w:pPr>
              <w:pStyle w:val="2"/>
              <w:ind w:firstLine="640" w:firstLineChars="200"/>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jc w:val="center"/>
        </w:trPr>
        <w:tc>
          <w:tcPr>
            <w:tcW w:w="1148" w:type="dxa"/>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12</w:t>
            </w:r>
          </w:p>
        </w:tc>
        <w:tc>
          <w:tcPr>
            <w:tcW w:w="2229" w:type="dxa"/>
            <w:vAlign w:val="top"/>
          </w:tcPr>
          <w:p>
            <w:pPr>
              <w:pStyle w:val="2"/>
              <w:ind w:firstLine="640" w:firstLineChars="200"/>
              <w:jc w:val="both"/>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t>经开区</w:t>
            </w:r>
          </w:p>
        </w:tc>
        <w:tc>
          <w:tcPr>
            <w:tcW w:w="2758" w:type="dxa"/>
            <w:vAlign w:val="top"/>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hAnsi="仿宋_GB2312" w:cs="仿宋_GB2312"/>
                <w:b w:val="0"/>
                <w:bCs w:val="0"/>
                <w:color w:val="000000" w:themeColor="text1"/>
                <w:vertAlign w:val="baseline"/>
                <w:lang w:val="en-US" w:eastAsia="zh-CN"/>
                <w14:textFill>
                  <w14:solidFill>
                    <w14:schemeClr w14:val="tx1"/>
                  </w14:solidFill>
                </w14:textFill>
              </w:rPr>
              <w:t>1</w:t>
            </w:r>
          </w:p>
        </w:tc>
        <w:tc>
          <w:tcPr>
            <w:tcW w:w="2225" w:type="dxa"/>
            <w:vAlign w:val="top"/>
          </w:tcPr>
          <w:p>
            <w:pPr>
              <w:pStyle w:val="2"/>
              <w:ind w:firstLine="640" w:firstLineChars="200"/>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jc w:val="center"/>
        </w:trPr>
        <w:tc>
          <w:tcPr>
            <w:tcW w:w="1148" w:type="dxa"/>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hAnsi="仿宋_GB2312" w:cs="仿宋_GB2312"/>
                <w:b w:val="0"/>
                <w:bCs w:val="0"/>
                <w:color w:val="000000" w:themeColor="text1"/>
                <w:vertAlign w:val="baseline"/>
                <w:lang w:val="en-US" w:eastAsia="zh-CN"/>
                <w14:textFill>
                  <w14:solidFill>
                    <w14:schemeClr w14:val="tx1"/>
                  </w14:solidFill>
                </w14:textFill>
              </w:rPr>
              <w:t>合计</w:t>
            </w:r>
          </w:p>
        </w:tc>
        <w:tc>
          <w:tcPr>
            <w:tcW w:w="2229" w:type="dxa"/>
            <w:vAlign w:val="top"/>
          </w:tcPr>
          <w:p>
            <w:pPr>
              <w:pStyle w:val="2"/>
              <w:ind w:firstLine="640" w:firstLineChars="200"/>
              <w:jc w:val="both"/>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p>
        </w:tc>
        <w:tc>
          <w:tcPr>
            <w:tcW w:w="2758" w:type="dxa"/>
            <w:vAlign w:val="top"/>
          </w:tcPr>
          <w:p>
            <w:pPr>
              <w:pStyle w:val="2"/>
              <w:ind w:left="0" w:leftChars="0" w:firstLine="0" w:firstLineChars="0"/>
              <w:jc w:val="center"/>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r>
              <w:rPr>
                <w:rFonts w:hint="eastAsia" w:hAnsi="仿宋_GB2312" w:cs="仿宋_GB2312"/>
                <w:b w:val="0"/>
                <w:bCs w:val="0"/>
                <w:color w:val="000000" w:themeColor="text1"/>
                <w:vertAlign w:val="baseline"/>
                <w:lang w:val="en-US" w:eastAsia="zh-CN"/>
                <w14:textFill>
                  <w14:solidFill>
                    <w14:schemeClr w14:val="tx1"/>
                  </w14:solidFill>
                </w14:textFill>
              </w:rPr>
              <w:t>18</w:t>
            </w:r>
          </w:p>
        </w:tc>
        <w:tc>
          <w:tcPr>
            <w:tcW w:w="2225" w:type="dxa"/>
            <w:vAlign w:val="top"/>
          </w:tcPr>
          <w:p>
            <w:pPr>
              <w:pStyle w:val="2"/>
              <w:ind w:firstLine="640" w:firstLineChars="200"/>
              <w:rPr>
                <w:rFonts w:hint="eastAsia" w:ascii="仿宋_GB2312" w:hAnsi="仿宋_GB2312" w:eastAsia="仿宋_GB2312" w:cs="仿宋_GB2312"/>
                <w:b w:val="0"/>
                <w:bCs w:val="0"/>
                <w:color w:val="000000" w:themeColor="text1"/>
                <w:vertAlign w:val="baseline"/>
                <w:lang w:val="en-US" w:eastAsia="zh-CN"/>
                <w14:textFill>
                  <w14:solidFill>
                    <w14:schemeClr w14:val="tx1"/>
                  </w14:solidFill>
                </w14:textFill>
              </w:rPr>
            </w:pPr>
          </w:p>
        </w:tc>
      </w:tr>
    </w:tbl>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bookmarkStart w:id="0" w:name="_GoBack"/>
      <w:bookmarkEnd w:id="0"/>
    </w:p>
    <w:sectPr>
      <w:headerReference r:id="rId3" w:type="default"/>
      <w:footerReference r:id="rId4" w:type="default"/>
      <w:pgSz w:w="11906" w:h="16838"/>
      <w:pgMar w:top="1610" w:right="1406" w:bottom="1157" w:left="1519" w:header="851" w:footer="992" w:gutter="0"/>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roman"/>
    <w:pitch w:val="default"/>
    <w:sig w:usb0="00000001" w:usb1="080E0000" w:usb2="00000000" w:usb3="00000000" w:csb0="00040000" w:csb1="00000000"/>
  </w:font>
  <w:font w:name="MingLiU">
    <w:panose1 w:val="02020509000000000000"/>
    <w:charset w:val="88"/>
    <w:family w:val="swiss"/>
    <w:pitch w:val="default"/>
    <w:sig w:usb0="A00002FF" w:usb1="28CFFCFA" w:usb2="00000016" w:usb3="00000000" w:csb0="00100001"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swiss"/>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jc w:val="right"/>
      <w:rPr>
        <w:color w:val="000000"/>
        <w:kern w:val="0"/>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30"/>
                              <w:szCs w:val="30"/>
                              <w:lang w:eastAsia="zh-CN"/>
                            </w:rPr>
                            <w:fldChar w:fldCharType="begin"/>
                          </w:r>
                          <w:r>
                            <w:rPr>
                              <w:rFonts w:hint="eastAsia"/>
                              <w:sz w:val="30"/>
                              <w:szCs w:val="30"/>
                              <w:lang w:eastAsia="zh-CN"/>
                            </w:rPr>
                            <w:instrText xml:space="preserve"> PAGE  \* MERGEFORMAT </w:instrText>
                          </w:r>
                          <w:r>
                            <w:rPr>
                              <w:rFonts w:hint="eastAsia"/>
                              <w:sz w:val="30"/>
                              <w:szCs w:val="30"/>
                              <w:lang w:eastAsia="zh-CN"/>
                            </w:rPr>
                            <w:fldChar w:fldCharType="separate"/>
                          </w:r>
                          <w:r>
                            <w:rPr>
                              <w:sz w:val="30"/>
                              <w:szCs w:val="30"/>
                            </w:rPr>
                            <w:t>13</w:t>
                          </w:r>
                          <w:r>
                            <w:rPr>
                              <w:rFonts w:hint="eastAsia"/>
                              <w:sz w:val="30"/>
                              <w:szCs w:val="30"/>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C2&#10;u99utwEAAFQDAAAOAAAAAAAAAAEAIAAAAB4BAABkcnMvZTJvRG9jLnhtbFBLBQYAAAAABgAGAFkB&#10;AABHBQ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30"/>
                        <w:szCs w:val="30"/>
                        <w:lang w:eastAsia="zh-CN"/>
                      </w:rPr>
                      <w:fldChar w:fldCharType="begin"/>
                    </w:r>
                    <w:r>
                      <w:rPr>
                        <w:rFonts w:hint="eastAsia"/>
                        <w:sz w:val="30"/>
                        <w:szCs w:val="30"/>
                        <w:lang w:eastAsia="zh-CN"/>
                      </w:rPr>
                      <w:instrText xml:space="preserve"> PAGE  \* MERGEFORMAT </w:instrText>
                    </w:r>
                    <w:r>
                      <w:rPr>
                        <w:rFonts w:hint="eastAsia"/>
                        <w:sz w:val="30"/>
                        <w:szCs w:val="30"/>
                        <w:lang w:eastAsia="zh-CN"/>
                      </w:rPr>
                      <w:fldChar w:fldCharType="separate"/>
                    </w:r>
                    <w:r>
                      <w:rPr>
                        <w:sz w:val="30"/>
                        <w:szCs w:val="30"/>
                      </w:rPr>
                      <w:t>13</w:t>
                    </w:r>
                    <w:r>
                      <w:rPr>
                        <w:rFonts w:hint="eastAsia"/>
                        <w:sz w:val="30"/>
                        <w:szCs w:val="30"/>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jc w:val="left"/>
      <w:rPr>
        <w:rFonts w:hint="eastAsia"/>
        <w:kern w:val="0"/>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1E72C1"/>
    <w:rsid w:val="048268FD"/>
    <w:rsid w:val="080457D1"/>
    <w:rsid w:val="08DF32A4"/>
    <w:rsid w:val="09E1364E"/>
    <w:rsid w:val="19CD667A"/>
    <w:rsid w:val="1BEC1858"/>
    <w:rsid w:val="2B237B6D"/>
    <w:rsid w:val="2E0B688E"/>
    <w:rsid w:val="2F554C74"/>
    <w:rsid w:val="2FAE442C"/>
    <w:rsid w:val="321E72C1"/>
    <w:rsid w:val="409977E1"/>
    <w:rsid w:val="453F351A"/>
    <w:rsid w:val="491673DD"/>
    <w:rsid w:val="4E211037"/>
    <w:rsid w:val="519A0AD9"/>
    <w:rsid w:val="53527776"/>
    <w:rsid w:val="53B260F5"/>
    <w:rsid w:val="54D70868"/>
    <w:rsid w:val="5A6C6305"/>
    <w:rsid w:val="5BD414DC"/>
    <w:rsid w:val="5D402BB9"/>
    <w:rsid w:val="670534FA"/>
    <w:rsid w:val="695E7AFC"/>
    <w:rsid w:val="6DF82E3C"/>
    <w:rsid w:val="74BB2E9B"/>
    <w:rsid w:val="762565A2"/>
    <w:rsid w:val="774F0A5D"/>
    <w:rsid w:val="7A9A7F3E"/>
    <w:rsid w:val="7F2445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iPriority w:val="0"/>
  </w:style>
  <w:style w:type="table" w:default="1" w:styleId="11">
    <w:name w:val="Normal Table"/>
    <w:semiHidden/>
    <w:uiPriority w:val="0"/>
    <w:tblPr>
      <w:tblLayout w:type="fixed"/>
      <w:tblCellMar>
        <w:top w:w="0" w:type="dxa"/>
        <w:left w:w="108" w:type="dxa"/>
        <w:bottom w:w="0" w:type="dxa"/>
        <w:right w:w="108" w:type="dxa"/>
      </w:tblCellMar>
    </w:tblPr>
  </w:style>
  <w:style w:type="paragraph" w:styleId="2">
    <w:name w:val="Normal Indent"/>
    <w:basedOn w:val="1"/>
    <w:unhideWhenUsed/>
    <w:qFormat/>
    <w:uiPriority w:val="99"/>
    <w:pPr>
      <w:spacing w:line="560" w:lineRule="exact"/>
      <w:ind w:firstLine="420" w:firstLineChars="200"/>
    </w:pPr>
    <w:rPr>
      <w:rFonts w:hint="eastAsia" w:ascii="仿宋_GB2312" w:eastAsia="仿宋_GB2312"/>
      <w:sz w:val="32"/>
      <w:szCs w:val="32"/>
    </w:rPr>
  </w:style>
  <w:style w:type="paragraph" w:styleId="3">
    <w:name w:val="annotation text"/>
    <w:basedOn w:val="1"/>
    <w:qFormat/>
    <w:uiPriority w:val="0"/>
    <w:pPr>
      <w:jc w:val="left"/>
    </w:pPr>
  </w:style>
  <w:style w:type="paragraph" w:styleId="4">
    <w:name w:val="Plain Text"/>
    <w:basedOn w:val="1"/>
    <w:qFormat/>
    <w:uiPriority w:val="0"/>
    <w:pPr>
      <w:spacing w:line="360" w:lineRule="auto"/>
      <w:ind w:firstLine="480" w:firstLineChars="200"/>
    </w:pPr>
    <w:rPr>
      <w:rFonts w:ascii="仿宋_GB2312"/>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FollowedHyperlink"/>
    <w:basedOn w:val="7"/>
    <w:qFormat/>
    <w:uiPriority w:val="0"/>
    <w:rPr>
      <w:color w:val="000000"/>
      <w:u w:val="none"/>
    </w:rPr>
  </w:style>
  <w:style w:type="character" w:styleId="10">
    <w:name w:val="Hyperlink"/>
    <w:basedOn w:val="7"/>
    <w:qFormat/>
    <w:uiPriority w:val="0"/>
    <w:rPr>
      <w:color w:val="000000"/>
      <w:u w:val="none"/>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正文文本 (2)"/>
    <w:basedOn w:val="1"/>
    <w:qFormat/>
    <w:uiPriority w:val="0"/>
    <w:pPr>
      <w:shd w:val="clear" w:color="auto" w:fill="FFFFFF"/>
      <w:spacing w:before="300" w:after="180" w:line="0" w:lineRule="atLeast"/>
      <w:jc w:val="center"/>
    </w:pPr>
    <w:rPr>
      <w:rFonts w:ascii="MingLiU" w:hAnsi="MingLiU" w:eastAsia="MingLiU" w:cs="MingLiU"/>
      <w:sz w:val="22"/>
      <w:szCs w:val="22"/>
    </w:rPr>
  </w:style>
  <w:style w:type="character" w:customStyle="1" w:styleId="14">
    <w:name w:val="zi15bold1"/>
    <w:basedOn w:val="7"/>
    <w:qFormat/>
    <w:uiPriority w:val="0"/>
    <w:rPr>
      <w:b/>
      <w:color w:val="003987"/>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65</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2019-06-03T00:26:00Z</dcterms:created>
  <dc:creator>林子</dc:creator>
  <cp:lastModifiedBy>林子</cp:lastModifiedBy>
  <cp:lastPrinted>2019-06-04T01:04:27Z</cp:lastPrinted>
  <dcterms:modified xsi:type="dcterms:W3CDTF">2019-06-04T01:05:46Z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